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DESPACHO ADUANEIRO</w:t>
      </w:r>
    </w:p>
    <w:p>
      <w:r>
        <w:rPr>
          <w:i/>
          <w:iCs/>
          <w:color w:val="666666"/>
        </w:rPr>
        <w:t xml:space="preserve">MERCADORIA LEILOADA</w:t>
      </w:r>
    </w:p>
    <w:p/>
    <w:p/>
    <w:p>
      <w:r>
        <w:t xml:space="preserve">08. ADMINISTRAÇÃO DAS ATIVIDADES ADUANEIRAS — FISCALIZAÇÃO - CONTROLE E TRIBUTAÇÃO DAS OPERAÇÕES DE COMÉRCIO EXTERIOR - REGULAMENTA</w:t>
      </w:r>
    </w:p>
    <w:p/>
    <w:p>
      <w:pPr>
        <w:pStyle w:val="Heading2"/>
      </w:pPr>
      <w:r>
        <w:rPr>
          <w:b/>
          <w:bCs/>
        </w:rPr>
        <w:t xml:space="preserve">Ementa</w:t>
      </w:r>
    </w:p>
    <w:p>
      <w:r>
        <w:t xml:space="preserve">Subseção II Da Apuração da Similaridade Art. 193. A apuração da similaridade para os fins do art. 118 será procedida em cada caso, antes da importação, pela Secretaria de Comércio Exterior, segundo as normas e os critérios estabelecidos nesta Seção (Decreto-Lei 37/66, art. 19, caput e parágrafo único). § 1º Na apuração da similaridade poderá ser solicitada a colaboração de outros órgãos governamentais e de entidades de classe (Decreto-Lei 37/66, art. 19, caput). § 2º Nos casos excepcionais em que, por motivos de ordem técnica, não for possível a apuração prévia da similaridade, esta poderá ser verificada por ocasião do despacho de importação da mercadoria, conforme as instruções gerais ou específicas que forem estabelecidas. § 3º Com o objetivo de facilitar a execução de contratos de financiamento de projetos, para cuja implantação for requerida a aprovação do Governo, o exame da similaridade deverá ser feito de preferência durante a negociação dos contratos. § 4º A Secretaria de Comércio Exterior do Ministério do Desenvolvimento, Indústria e Comércio Exterior informará ao interessado sobre a inexistência do similar nacional e editará, no âmbito de sua competência, atos normativos para a implementação do disposto neste artigo. Art. 194. Quando a Secretaria de Comércio Exterior não tiver elementos próprios para decidir, serão exigidas dos postulantes de isenção ou de redução as informações pertinentes, a fim de demonstrar que a indústria nacional não teria condições de fabricação ou de oferta do produto a importar, cumpridas as instruções que forem baixadas. § 1º A falta de cumprimento da exigência prevista neste artigo impossibilitará a obtenção do benefício, no caso específico. § 2º As entidades máximas representativas das atividades econômicas deverão informar sobre a produção do similar no País, atendendo aos pedidos dos interessados ou da Secretaria de Comércio Exterior, na forma e no prazo estabelecidos em ato n ormativo específico. § 3º Poderão ser aceitos como elementos de prova os resultados de concorrências públicas, tomadas de preço, ofertas ou condições de fornecimento do produto ou informações firmadas pela entidade máxima da classe representativa da atividade em causa. Art. 195. Na hipótese de a indústria nacional não ter condições de oferta para atender, em prazo normal, à demanda específica de um conjunto de bens destinados à execução de determinado projeto, a importação da parcela do conjunto, não atendida pela indústria nacional, poderá ser dispensada do cumprimento das normas de similaridade estabelecidas nesta Seção. Art. 196. Quando a fabricação interna requerer a participação de insumos importados em proporções elevadas, relativamente ao custo final do bem, deverá ser levado em consideração se o valor acrescido internamente, em decorrência de montagem ou de qualquer outra operação industrial, pode conferir ao bem fabricado a necessária qualificação econômica para ser reconhecido como similar, nos termos desta Seção. Art. 197. Considera-se que não há similar nacional, em condições de substituir o produto importado, quando, em obras a cargo de concessionárias de serviço público, não existirem bens e equipamentos de construção em quantidade que permita o seu fornecimento nos prazos requeridos pelo interesse nacional para a conclusão da obra. Art. 198. Nos programas de estímulo à industrialização, aplicados por meio de índices de nacionalização progressiva, os órgãos competentes deverão observar as normas de similaridade estabelecidas nesta Seção. Art. 199. A anotação de inexistência de similar nacional no documento ou no registro informatizado de importação, ou de enquadramento da mercadoria nas hipóteses referidas no art. 204, é condição indispensável para o despacho aduaneiro com isenção ou redução do imposto. Parágrafo único. Excetuam-se da exigência de anotação as mercadorias compreendidas no § 3º do art. 193, no art. 201 e as que forem expressamente autorizadas pela Secretaria de Comércio Exterior. Art. 200. Os produtos naturais brutos ou com beneficiamento primário, as matérias-primas e os bens de consumo de notória produção no País independem de apuração para serem considerados similares (Decreto-Lei 37/66, art. 20). Parágrafo único. A Secretaria de Comércio Exterior poderá suspender os efeitos do caput, quando ficar demonstrado que a produção nacional não atende às condições estabelecidas no art. 190. Art. 201. São dispensados da apuração de similaridade: I - bagagem de viajantes (Decreto-Le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2026-06-17T14:14:33.350Z</dcterms:created>
  <dcterms:modified xsi:type="dcterms:W3CDTF">2026-06-17T14:14:33.350Z</dcterms:modified>
</cp:coreProperties>
</file>

<file path=docProps/custom.xml><?xml version="1.0" encoding="utf-8"?>
<Properties xmlns="http://schemas.openxmlformats.org/officeDocument/2006/custom-properties" xmlns:vt="http://schemas.openxmlformats.org/officeDocument/2006/docPropsVTypes"/>
</file>