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DESPACHO ADUANEIRO</w:t>
      </w:r>
    </w:p>
    <w:p>
      <w:r>
        <w:rPr>
          <w:i/>
          <w:iCs/>
          <w:color w:val="666666"/>
        </w:rPr>
        <w:t xml:space="preserve">MERCADORIA LEILOADA</w:t>
      </w:r>
    </w:p>
    <w:p/>
    <w:p/>
    <w:p>
      <w:r>
        <w:t xml:space="preserve">23. ADMINISTRAÇÃO DAS ATIVIDADES ADUANEIRAS — FISCALIZAÇÃO - CONTROLE E TRIBUTAÇÃO DAS OPERAÇÕES DE COMÉRCIO EXTERIOR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DO DESPACHO DE EXPORTAÇÃO Seção I Das Disposições Preliminares Art. 580. Despacho de exportação é o procedimento mediante o qual é verificada a exatidão dos dados declarados pelo exportador em relação à mercadoria, aos documentos apresentados e à legislação específica, com vistas a seu desembaraço aduaneiro e a sua saída para o exterior. Art. 581. Toda mercadoria destinada ao exterior, inclusive a reexportada, está sujeita a despacho de exportação, com as exceções estabelecidas na legislação específica. Parágrafo único. A mercadoria a ser devolvida ao exterior antes de submetida a despacho de importação poderá ser dispensada do despacho de exportação, conforme disposto em ato editado pela Secretaria da Receita Federal do Brasil. Art. 582. Será dispensada de despacho de exportação a saída, do País, de mala diplomática ou consular, observado o disposto no art. 547 (Convenção de Viena sobre Relações Diplomáticas, Artigo 27, promulgada pelo Decreto nº 56.435, de 1965, e Convenção de Viena sobre Relações Consulares, Artigo 35, promulgada pelo Decreto nº 61.078, de 1967). Art. 583. O despacho de exportação de urna funerária será realizado em caráter prioritário e mediante rito sumário, antes de sua saída para o exterior, com base no respectivo conhecimento de carga ou em documento de efeito equivalente, observado, ainda, o disposto no parágrafo único do art. 548. Seção II Do Registro de Exportação Art. 584. O registro de exportação compreende o conjunto de informações de natureza comercial, financeira, cambial e fiscal que caracteriza a operação de exportação de uma mercadoria e define o seu enquadramento, devendo ser efetuado de acordo com o estabelecido pela Secretaria de Comércio Exterior. Art. 585. O registro de exportação, no SISCOMEX, nos casos previstos pela Secretaria de Comércio Exterior, é requisito essencial para o despacho de exportação de mercadorias nacionais ou nacionalizadas, ou de reexport ação. Seção III Da Declaração de Exportação Art. 586. O documento base do despacho de exportação é a declaração de exportação. Parágrafo único. A Secretaria da Receita Federal do Brasil poderá estabelecer diferentes tipos e formas de apresentação da declaração de exportação, apropriados à natureza dos despachos, ou a situações específicas em relação à mercadoria ou a seu tratamento tributário. Art. 587. A retificação da declaração de exportação, mediante alteração das informações prestadas, ou a inclusão de outras, será feita pela autoridade aduaneira, de ofício ou a requerimento do exportador, na forma estabelecida pela Secretaria da Receita Federal do Brasil. Seção IV Da Instrução da Declaração de Exportação Art. 588. A declaração de exportação será instruída com: I - a primeira via da nota fiscal; II - a via original do conhecimento e do manifesto internacional de carga, nas exportações por via terrestre, fluvial ou lacustre; e III - outros documentos exigidos na legislação específica. Parágrafo único. Os documentos instrutivos da declaração de exportação serão entregues à autoridade aduaneira, na forma, no prazo e nas condições estabelecidos pela Secretaria da Receita Federal do Brasil. Seção V Da Conferência Aduaneira Art. 589. A conferência aduaneira na exportação tem por finalidade identificar o exportador, verificar a mercadoria e a correção das informações relativas a sua natureza, classificação fiscal, quantificação e preço, e confirmar o cumprimento de todas as obrigações, fiscais e outras, exigíveis em razão da exportação. Art. 590. A verificação da mercadoria, no curso da conferência aduaneira ou em qualquer outra ocasião, será realizada por Auditor-Fiscal da Receita Federal do Brasil, ou sob a sua supervisão, por servidor integrante da Carreira Auditoria da Receita Federal do Brasil, na presença do viajante, do exportador ou de seus representantes (Decreto-Lei 37/66, art. 50, caput, c om a redação dada pela Lei 10.833/2003, art. 77). § 1º Na hipótese de mercadoria depositada em recinto alfandegado, a verificação poderá ser realizada na presença do depositário ou de seus prepostos, dispensada a exigência da presença do exportador (Decreto-Lei 37/66, art. 50, § 1º, com a redação dada pela Lei 10.833/2003, art. 77). § 2º A verificação de bagagem ou de outra mercadoria que esteja sob a responsabilidade do transportador poderá ser realizada na presença deste ou de seus prepostos, dispensada a exigência da presença do viajante ou do exportador (Decreto-Lei 37/66, art. 50, § 2º, com a redação dada pela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2026-09-10T22:29:23.115Z</dcterms:created>
  <dcterms:modified xsi:type="dcterms:W3CDTF">2026-09-10T22:29:23.115Z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