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DPDC Nº 14 DE 22-06-1998</w:t>
      </w:r>
    </w:p>
    <w:p/>
    <w:p>
      <w:r>
        <w:rPr>
          <w:b/>
          <w:bCs/>
        </w:rPr>
        <w:t xml:space="preserve">Recurso: </w:t>
      </w:r>
      <w:r>
        <w:t xml:space="preserve">re 10</w:t>
      </w:r>
    </w:p>
    <w:p/>
    <w:p>
      <w:r>
        <w:t xml:space="preserve">02. POLÍTICA DE RESSEGURO, RETROCESSÃO E SUA INTERMEDIAÇÃO, OPERAÇÕES DE CO-SEGURO, CONTRATAÇÕES NO EXTERIOR E OPERAÇÕES EM MOEDA ESTRANGEIRA DO SETOR SECURITÁRIO</w:t>
      </w:r>
    </w:p>
    <w:p/>
    <w:p>
      <w:pPr>
        <w:pStyle w:val="Heading2"/>
      </w:pPr>
      <w:r>
        <w:rPr>
          <w:b/>
          <w:bCs/>
        </w:rPr>
        <w:t xml:space="preserve">Ementa</w:t>
      </w:r>
    </w:p>
    <w:p>
      <w:r>
        <w:t xml:space="preserve">CAPÍTULO VII DISPOSIÇÕES FINAIS Art. 22. O IRB-Brasil Resseguros S.A. fica autorizado a continuar exercendo suas atividades de resseguro e de retrocessão, sem qualquer solução de continuidade, independentemente de requerimento e autorização governamental, qualificando-se como ressegurador local. Parágrafo único. O IRB-Brasil Resseguros S.A. fornecerá ao órgão fiscalizador da atividade de seguros informações técnicas e cópia de seu acervo de dados e de quaisquer outros documentos ou registros que esse órgão fiscalizador julgue necessários para o desempenho das funções de fiscalização das operações de seguro, co-seguro, resseguro e retrocessão. Art. 23. Fica a União autorizada a oferecer aos acionistas preferenciais do IRB-Brasil Resseguros S.A., mediante competente deliberação societária, a opção de retirada do capital que mantêm investido na sociedade, com a finalidade exclusiva de destinar tais recursos integralmente à subscrição de ações de empresa de resseguro sediada no País. Parágrafo único. (VETADO) Art. 24. O órgão fiscalizador de seguros fornecerá à Advocacia-Geral da União as informações e os documentos necessários à defesa da União nas ações em que seja parte. Art. 25. O órgão fiscalizador de seguros, instaurado inquérito administrativo, poderá solicitar à autoridade judiciária competente o levantamento do sigilo nas instituições financeiras de informações e documentos relativos a bens, direitos e obrigações de pessoa física ou jurídica submetida ao seu poder fiscalizador. Parágrafo único. O órgão fiscalizador de seguros, o Banco Central do Brasil e a Comissão de Valores Mobiliários manterão permanente intercâmbio de informações acerca dos resultados das inspeções que realizarem, dos inquéritos que instaurarem e das penalidades que aplicarem, sempre que as informações forem necessárias ao desempenho de suas atividades. § 1º O órgão fiscalizador de seguros, o Banco Central do Brasil e a Comissão de Valores Mobiliários (CVM) manterão permanente intercâmbio de informações acerca dos resultados das inspeções que realizarem, dos inquéritos que instaurarem e das penalidades que aplicarem, sempre que as informações forem necessárias ao desempenho de suas atividades. (Renumerado do parágrafo único pela Lei complementar 137/2010) § 2º O órgão fiscalizador de seguros poderá firmar convênios: (Incluído pela Lei complementar 137/2010) I - com o Banco Central do Brasil, a CVM e outros órgãos fiscalizadores, objetivando a realização de fiscalizações conjuntas, observadas as respectivas competências; (Incluído pela Lei complementar 137/2010) II - com outros órgãos supervisores, reguladores, autorreguladores ou entidades fiscalizadoras de outros países, objetivando: (Incluído pela Lei complementar 137/2010) a) a fiscalização de escritórios de representação, filiais e subsidiárias de seguradoras e resseguradores estrangeiros, em funcionamento no Brasil, e de filiais e subsidiárias, no exterior, de seguradoras e resseguradores brasileiros, bem como a fiscalização de remessas ou ingressos de valores do exterior originários de operação de seguro, resseguro e retrocessão; (Incluído pela Lei complementar 137/2010) b) a cooperação mútua e o intercâmbio de informações para a investigação de atividades ou operações que impliquem aplicação, negociação, ocultação ou transferência de ativos financeiros e de valores mobiliários relacionados com a prática de condutas ilícitas ou que, sob qualquer outra forma, tenham relação com possível ilicitude. (Incluído pela Lei complementar 137/2010) § 3º O intercâmbio de informações entre os órgãos e entidades mencionados nos incisos I e II do § 2º deste artigo não caracteriza violação de sigilo, devendo os referidos órgãos e entidades resguardar a segurança das informações a que vierem a ter acesso. (Incluído pela Lei complementar 137/2010) Art. 26. As câmaras e os prestadores de serviços de compensação e de liquidação autorizados a funcionar pela legislação em vigor bem como as instituições autorizadas à prestação de serviços de custódia pela Comissão de Valores Mobiliários fornecerão ao órgão fiscalizador de seguros, desde que por ele declaradas necessárias ao exercício de suas atribuições, as informações que possuam sobre as operações: I - dos fundos de investimento especialmente constituídos para a recepção de recursos das sociedades seguradoras, de capitalização e entidades abertas de previdência complementar; e II - dos fundos de investimento, com patrimônio segregado, vinculados exclusivam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2026-06-17T17:49:31.669Z</dcterms:created>
  <dcterms:modified xsi:type="dcterms:W3CDTF">2026-06-17T17:49:31.669Z</dcterms:modified>
</cp:coreProperties>
</file>

<file path=docProps/custom.xml><?xml version="1.0" encoding="utf-8"?>
<Properties xmlns="http://schemas.openxmlformats.org/officeDocument/2006/custom-properties" xmlns:vt="http://schemas.openxmlformats.org/officeDocument/2006/docPropsVTypes"/>
</file>