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r>
        <w:rPr>
          <w:b/>
          <w:bCs/>
          <w:color w:val="F40009"/>
          <w:sz w:val="18"/>
          <w:szCs w:val="18"/>
        </w:rPr>
        <w:t xml:space="preserve">EMFOR · CIVEL</w:t>
      </w:r>
    </w:p>
    <w:p>
      <w:pPr>
        <w:pStyle w:val="Title"/>
      </w:pPr>
      <w:r>
        <w:rPr>
          <w:b/>
          <w:bCs/>
        </w:rPr>
        <w:t xml:space="preserve">CORREÇÃO MONETÁRIA</w:t>
      </w:r>
    </w:p>
    <w:p>
      <w:r>
        <w:rPr>
          <w:i/>
          <w:iCs/>
          <w:color w:val="666666"/>
        </w:rPr>
        <w:t xml:space="preserve">CAUSAS PENDENTES DE JULGAMENTO</w:t>
      </w:r>
    </w:p>
    <w:p/>
    <w:p>
      <w:r>
        <w:rPr>
          <w:b/>
          <w:bCs/>
        </w:rPr>
        <w:t xml:space="preserve">Recurso: </w:t>
      </w:r>
      <w:r>
        <w:t xml:space="preserve">recurso especial 3.830</w:t>
      </w:r>
    </w:p>
    <w:p>
      <w:r>
        <w:rPr>
          <w:b/>
          <w:bCs/>
        </w:rPr>
        <w:t xml:space="preserve">Tribunal: </w:t>
      </w:r>
      <w:r>
        <w:t xml:space="preserve">STJ</w:t>
      </w:r>
    </w:p>
    <w:p/>
    <w:p>
      <w:r>
        <w:t xml:space="preserve">CUMULAÇÃO — SE É ADMISÍVEL</w:t>
      </w:r>
    </w:p>
    <w:p/>
    <w:p>
      <w:pPr>
        <w:pStyle w:val="Heading2"/>
      </w:pPr>
      <w:r>
        <w:rPr>
          <w:b/>
          <w:bCs/>
        </w:rPr>
        <w:t xml:space="preserve">Resumo</w:t>
      </w:r>
    </w:p>
    <w:p>
      <w:r>
        <w:t xml:space="preserve">- Seja como for, no tema questionado no Especial (cumulação de correção monetária com taxa de permanência), a matéria encontra-se plenamente definida em precedentes desta Corte, nos quais se cristalizou o entendimento de que não se cumula correção monetária com comissão de permanência. - Para corroborar tais argumentos cabe demonstrar, como nesta oportunidade o faço, que, no emitir voto condutor no recurso especial nº 3.830, oriundo de Minas Gerais, assinalei, neste fragmento: "... Ressalvo, apenas, a inexigilidade da comissão de permanência, fiel à jurisprudência que se consolidou na Turma, entendendo-a inacumulável com a correção monetária ...". - De conseguinte, hoje, tranqüila é a posição desta Terceira Turma em face de ter esposado a tese da inacumulabilidade de tais rubricas. E o acórdão recorrido ao julgar como o fez, se ajustou, incensuravelmente, ao tema como acolhido no colegiado. - Improsperável, pois, seria o mesmo nesse ponto. Todavia, como dito nos declaratórios, a multa contratual foi excluída do "decisum", sob o fundamento de que tal rubrica não tem espaço nos estreitos limites da cártula. - Ocorre que tanto o emitente da promissória quanto os avalistas pactuam tal ônus no contrato de abertura de crédito ( ... ) e no julgado paradigma já referido ( Resp. nº 3.830 - MG) ao concluir meu voto dizia como relator que : " ... existindo, como evidente existe a solidariedade dos co-obrigados, reconhecido no Acórdão para o efeito de cobrança da correção monetária dela não se pode excluir a multa pactuada". Ac. de 29-10-1990 DJ de 03-12-1990 Arquivo do Ementário Forense, STJ/462 EMENTÁRIO FORENSE, Novembro, 1991 - ANO XLIII - Nº 516</w:t>
      </w:r>
    </w:p>
    <w:p/>
    <w:p>
      <w:pPr>
        <w:pStyle w:val="Heading2"/>
      </w:pPr>
      <w:r>
        <w:rPr>
          <w:b/>
          <w:bCs/>
        </w:rPr>
        <w:t xml:space="preserve">Ementa</w:t>
      </w:r>
    </w:p>
    <w:p>
      <w:r>
        <w:t xml:space="preserve">A Terceira Turma do STJ firmou jurisprudência no sentido, de que é inacumulável a cobrança da correção monetária com taxa de permanência.</w:t>
      </w:r>
    </w:p>
    <w:sectPr>
      <w:pgSz w:w="11906" w:h="16838" w:orient="portrait"/>
      <w:pgMar w:top="1440" w:right="1440" w:bottom="1440" w:left="144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/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2026-10-26T02:33:01.750Z</dcterms:created>
  <dcterms:modified xsi:type="dcterms:W3CDTF">2026-10-26T02:33:01.750Z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