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>
      <w:r>
        <w:rPr>
          <w:b/>
          <w:bCs/>
        </w:rPr>
        <w:t xml:space="preserve">Recurso: </w:t>
      </w:r>
      <w:r>
        <w:t xml:space="preserve">RE 92.215</w:t>
      </w:r>
    </w:p>
    <w:p/>
    <w:p>
      <w:r>
        <w:t xml:space="preserve">ESTRADA DE FERRO — ATROPELAMENTO - DISPOSITIVO DE LEI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Pretório Excelso tem decidido que, nos casos de responsabilidade civil extracontratual (ato ilícito contra pessoa), que é o caso dos autos, posto se tratar de atropelamento por um trem de propriedade da ré, a verba advocatícia deve ser calculada na forma do § 5°, do art. 20, do Código de Processo Civil, introduzido pela Lei nº 6.745, de 5-12-79. - É o que se vê, dentre outros, dos seguintes arestos: "Responsabilidade civil. Dano contra pessoa, decorrente de ato ilícito propriamente dito (art. 159 do Código Civil). Honorários advocatícios. Aplicação do § 5º do art. 20 do Código de Processo Civil. Recurso Extraordinário conhecido por maioria, mas improvido à unanimidade." (RE nº 92.215 - RJ RTJ 98/390). "Honorários advocatícios. Responsabilidade extracontratual. Ato ilícito contra pessoa. Atropelamento culposo de pedestre em passagem de nível de via férrea, não sinalizada. Incidência, no caso, do § 5° do artigo 20 do Código de Processo Civil. Recurso extraordinário conhecido e provido para esse fim".(RE nº 111.224 - RJ, RTJ 119/924). Ac. de 07-03-1990 Revista do Superior Tr. Justiça - Nº 11- Julho 1990 - Pág. 298. EMENTÁRIO FORENSE.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casos de responsabilidade civil extracontratual (ato ilícito contra pessoa), que é o caso dos autos, posto se tratar de atropelamento por um trem de propriedade da ré, a verba advocatícia deve ser calculada na forma do § 5º do art. 20, do CPC introduzidos pela Lei nº 6.745, de 05-12-79.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2026-10-26T02:41:14.244Z</dcterms:created>
  <dcterms:modified xsi:type="dcterms:W3CDTF">2026-10-26T02:41:14.244Z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