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CAUSAS PENDENTES DE JULGAMENTO</w:t>
      </w:r>
    </w:p>
    <w:p/>
    <w:p>
      <w:r>
        <w:rPr>
          <w:b/>
          <w:bCs/>
        </w:rPr>
        <w:t xml:space="preserve">Recurso: </w:t>
      </w:r>
      <w:r>
        <w:t xml:space="preserve">RE 92.215</w:t>
      </w:r>
    </w:p>
    <w:p/>
    <w:p>
      <w:r>
        <w:t xml:space="preserve">ESTRADA DE FERRO — ATROPELAMENTO - DISPOSITIVO DE LEI 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Pretório Excelso tem decidido que, nos casos de responsabilidade civil extracontratual (ato ilícito contra pessoa), que é o caso dos autos, posto se tratar de atropelamento por um trem de propriedade da ré, a verba advocatícia deve ser calculada na forma do § 5°, do art. 20, do Código de Processo Civil, introduzido pela Lei nº 6.745, de 5-12-79. - É o que se vê, dentre outros, dos seguintes arestos: "Responsabilidade civil. Dano contra pessoa, decorrente de ato ilícito propriamente dito (art. 159 do Código Civil). Honorários advocatícios. Aplicação do § 5º do art. 20 do Código de Processo Civil. Recurso Extraordinário conhecido por maioria, mas improvido à unanimidade." (RE nº 92.215 - RJ RTJ 98/390). "Honorários advocatícios. Responsabilidade extracontratual. Ato ilícito contra pessoa. Atropelamento culposo de pedestre em passagem de nível de via férrea, não sinalizada. Incidência, no caso, do § 5° do artigo 20 do Código de Processo Civil. Recurso extraordinário conhecido e provido para esse fim".(RE nº 111.224 - RJ, RTJ 119/924). Ac. de 07-03-1990 Revista do Superior Tr. Justiça - Nº 11- Julho 1990 - Pág. 298. EMENTÁRIO FORENSE. Novembro, 1991 - ANO XLIII - Nº 516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casos de responsabilidade civil extracontratual (ato ilícito contra pessoa), que é o caso dos autos, posto se tratar de atropelamento por um trem de propriedade da ré, a verba advocatícia deve ser calculada na forma do § 5º do art. 20, do CPC introduzidos pela Lei nº 6.745, de 05-12-79.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2026-07-28T00:24:56.199Z</dcterms:created>
  <dcterms:modified xsi:type="dcterms:W3CDTF">2026-07-28T00:24:56.199Z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