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/>
    <w:p>
      <w:r>
        <w:t xml:space="preserve">QUANDO SOBRE O ATO NÃO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desse E. Tribunal de Justiça, tem entendido: "Arrolamento. Renúncia dos bens da única herdeira. Imposto inter-vivos não devido. A renúncia à herança manifestada, por termo, nos autos de arrolamento, não está sujeita a determinado prazo para o princípio de que "na sucessão legítima a parte do renunciante acresce à dos outros herdeiros", não há fato gerador a considerar e assim não há também imposto a ser recolhido". (Ac. nº 2.259 - 2ª Civ. - j. 5-10-1993, Rel. DES. OSSIAN FRANÇA). Destarte, a doutra decisão agravada (...) está correta devendo ser confirmada integralmente. Sem razão, pois, a Fazenda Pública do Estado do Paraná. Assim sendo, o parecer é no sentido de que essa doutíssíma segunda Câmara Cível, negue provimento ao agravo de instrumento, interposto." - Ora, a renúncia pura e simples de herança, não está sujeita ao imposto de transmissão, se manifestada no correr do inventário, dentro do prazo de60 dias, face a Lei Estadual nº 5.464, de 31-12-66. - Na espécie, a renúncia se deu no prazo de 40 dias, após a abertura do inventário. Ac. de 15-05-1991 Arquivo do Ementário forense, TJ/2.166.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devido o imposto de transmissão, se a renúncia foi pura e simples à herança, no correr do inventário, manifestado no prazo de 60 dias, face a Lei Estadual nº 5.464, de 31-12-66.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2026-07-28T02:21:08.799Z</dcterms:created>
  <dcterms:modified xsi:type="dcterms:W3CDTF">2026-07-28T02:21:08.799Z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