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RESP 592132/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ILMAR GALVÃO</w:t>
      </w:r>
    </w:p>
    <w:p/>
    <w:p>
      <w:r>
        <w:t xml:space="preserve">BLOQUEIO DE VERBAS PÚBLICAS E ASTREINTES — PREPONDERÂNCIA DO DIREITO À SAÚDE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- É cabível, inclusive contra a Fazenda Pública, a aplicação de multa diária (astreintes) como meio coercitivo para impor ao demandado o cumprimento de medida antecipatória ou de sentença definitiva de obrigação de fazer ou entregar coisa, nos termos dos artigos 461 e 461A do CPC. Nesse sentido é a jurisprudência do STJ, como se pode verificar, por exemplo, nos seguintes precedentes: EDcl no Ag 645565/RS (1ª Turma, Min. José Delgado, DJ de 13.06.2005); AgRg no Ag 646240/RS (1ª Turma, Min. José Delgado, DJ de 13.06.2005); RESP 592132/RS (5ª Turma, Min. José Arnaldo da Fonseca, DJ de 16.05.2005); RESP 537269/RS (5ª Turma, Min. Felix Fischer, DJ de 28.10.2003); AgRg no AG 511956/SP (5ª Turma, Min.Gilson Dipp, DJ de 13.10.2003); AgRg no RESP 554776/SP (6ª Turma, Min.Paulo Medina, DJ de 06.10.2003); RESP 155174/SP (6ª Turma, Min., Fernando Gonçalves, DJ de 06.04.1998); AgRg no REsp 718011/TO (1ª Turma, Min. José Delgado, DJ de 30.05.2005). - É certo, por outro lado, que não se pode confundir astreintes, com bloqueio ou seqüestro de verbas públicas. Embora pertençam, ambos, à categoria de meios executivos, sua natureza é inteiramente diversa. Como se sabe, o cumprimento (= a execução) da sentença ou, se for o caso, da medida antecipatória de tutela é promovido mediante diferentes meios executivos, definidos por CHIOVENDA como "as medidas que a lei permite aos órgãos jurisdicionais pôr em prática para o fim de obter que o credor logre praticamente o bem a que tem direito", e por ele assim classificados: a) meios de coação, com os quais "os órgãos jurisdicionais tendem a fazer conseguir para o credor o bem a que tem direito com a participação do obrigado, e, pois, se destinam a influir sobre a vontade do obrigado para que se determine a prestar o que deve"; e b) meios de sub-rogação, "aqueles com que os órgãos jurisdicionais objetivam, por sua conta, fazer conseguir para o credor o bem a que tem direito independentemente de participação e, portanto, da vontade do obrigado" (Instituições de Direito Processual Civil, 3ª ed., trad. J. Guimarães Menegale, Saraiva, 1969, vol. I, p. 288). A multa diária (astreintes) é típico meio executivo de coação. Atuando sobre a vontade do devedor, ela visa a fazer com que o devedor satisfaça, sob pressão, a prestação que deveria espontaneamente entregar ao seu credor. Daí afirmar-se que a execução por meios coativos é forma de execução forçada indireta, já que o cumprimento da obrigação ocorre, não diretamente pela ação do Judiciário, mas pela do próprio devedor. Os meios de sub-rogação, ao contrário, são os que o Estado utiliza para, ele mesmo, entregar ao credor o objeto da prestação, independentemente da vontade ou da colaboração do devedor. Há, aqui, portanto, caracterizadamente, execução forçada direta. Em três subespécies classificam-se ditos meios executivos: (a) meios de desapossamento, (b) meios de transformação e (c) meios de expropriação. Os primeiros, consistentes em providências para retirar o bem da posse do devedor ou de terceiro que o detenha, são utilizados para a execução forçada de obrigação de entregar coisa. Os meios de transformação prestam-se ao atendimento de obrigações de fazer e de não fazer. Por eles, o Estado providencia medidas para que a obra ou o serviço ou o desfazimento, reclamados pelo credor, sejam realizados por outrem, que não o devedor renitente. E, finalmente, os meios executivos de expropriação consistem em atos de invasão forçada do patrimônio do executado para dele separar um ou mais bens, que serão destinados a cumprir obrigação de pagar quantia. A satisfação d o crédito se dará pela entrega do dinheiro produzido com a alienação dos bens em hasta pública, ou, eventualmente, pela adjudicação dos bens penhorados ou, ainda, pelo usufruto do imóvel ou da empresa (CPC, art. 708). O seqüestro e o bloqueio de dinheiro, bem se percebe, constituem típico meio executivo de sub-rogação por expropriação. - Ora, em se tratando da Fazenda Pública, qualquer obrigação de pagar quantia, ainda que decorrente da conversão de obrigação de fazer ou de entregar coisa, está sujeita a rito próprio (CPC, art. 730 do CPC e CF, art. 100 da CF), que não prevê, salvo excepcionalmente (v.g., desrespeito à ordem de pagamento dos precatórios judiciários), a possibilidade de execução direta por expropriação mediante seqüestro de dinheiro ou de qualquer outro bem público, que são impenhoráveis. - Todavia, o regime constitucional de impenhorabilidade dos bens públicos e da submi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urgente e impostergável a aquisição do medicamento, sob pena de grave comprometimento da saúde da demandante, não se pode ter por ilegítima, ante a omissão do agente estatal responsável, a determinação judicial do bloqueio de verbas públicas como meio de efetivação do direito prevalente.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2026-06-17T15:24:18.471Z</dcterms:created>
  <dcterms:modified xsi:type="dcterms:W3CDTF">2026-06-17T15:24:18.471Z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