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Recurso: </w:t>
      </w:r>
      <w:r>
        <w:t xml:space="preserve">RE 66.103</w:t>
      </w:r>
    </w:p>
    <w:p/>
    <w:p>
      <w:r>
        <w:t xml:space="preserve">ATO CONTRAÍDO SEM CONSENTIMENTO PATERNO — DIREITO DO PAI - PRAZO DE DECADÊNCIA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o ilustre CAIO MÁRIO, resumindo os resultados de uma colheita paciente na doutrina, "decadência é o perecimento do direito em razão do seu não-exercício em um prazo predeterminado", ("Instituições", v. I, 5º ed. - 2ª tiragem, nº 122, pág. 596). - Como tal contrasta com a exigência que muitos ainda fazem, erroneamente, sobre a alegabilidade ou invocação da prescrição (arts. 162-166 do Código Civil). - Em se tratando se decadência desmerece atenção o pormenor. A decadência pode (ou deve) ser pronunciada de ofício, como consta do voto do eminente Ministro ADAUCTO CARDOSO, citando ENNECCERUS : - "... el prazo de caducidad ha de tomarse em cuenta por el juez, aunque solo se despreda su transcurso de la exposición del demandante; la prescripción, em cambio, solo quando ia invoque el demandado" ("Derecho Civl", v. II, pág. 490, III, 1, ac. no RE nº 66.103, de Minas Gerais, em " Jurisprudência da Prescrição e da Decadência", LIMONGI FRANÇA, nº 124, PP. 370 e segts.). - O Tribunal de Justiça de São Paulo, em acórdão lido na RT, 139/677, já assinalava, nos idos de 1942, que " o prazo do artigo 178, § 4º, nº II, do Código Civil, para anular o pai o casamento do filho contraído sem o seu consentimento, é de caducidade e não de prescrição". Trata-se de "um direito em via de formação, que, não sendo posto em atividade dentro do prazo para este fim, marcado na lei, morre antes de nascer e sem deixar vestígio algum" (CUNHA GONÇALVES, "Tratado de Direito Civil", 3/677). Neste mesmo aresto se proclama a possibilidade do Juiz decretar, ex officio, a decadência. Ac. de 24-10-1989 Jurisprudência Mineira - Out. a Dez. 1989 - Vol. 108 - Pág. 216 EMENTÁRIO FORENSE.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decadência o prazo estabelecido pelo art. 178, § 4º, II, do Código Civil, para o pai anular o casamento do filho, contraído sem seu consentimento, pois, se trata de um direito que perece se não exercitado no prazo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2026-09-10T23:18:48.771Z</dcterms:created>
  <dcterms:modified xsi:type="dcterms:W3CDTF">2026-09-10T23:18:48.771Z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