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/>
    <w:p>
      <w:r>
        <w:t xml:space="preserve">EFEITOS — INCIDÊNCIA DE CORREÇÃO MONETÁRIA E JUROS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juros moratórios contam-se a partir do vencimento do título cambial (art. 48 da Lei Uniforme de Genebra com relação à letra de câmbio). No caso, em se tratando de cheque, emitido em 27-11-86, a obrigação é "pro solvendo" e não é título de crédito (PAULO RESTIFFE NETO, "Lei do Cheque", Ed. RT, 1973, pág. 39). Os juros moratórios podem ser pleiteados pelo portador desde o dia da apresentação, conforme dispõe o art. 45 de Lei Uniforme do Cheque ( PAULO RESTIFFE NETO, ob. cit., pág. 122). No mesmo sentido estabelece a nova norma do cheque, ou seja, o art. 52; II; da Lei Federal 7.357, de 2-9-85. - Quanto à correção monetária, o art. 1º, § 1º, da Lei 6.899/81 declara que, nas execuções de títulos de dívida líquida e certa, a correção será calculada a contar do respectivo vencimento. - O cheque é "título formal, autônomo, abstrato, que contém uma declaração unilateral de vontade enunciada pelo sacador por uma ordem de pagamento à vista, em dinheiro, dirigida ao sacado, em benefício do portador, correspondente à importância indicada" ( PAULO RESTIFFE NETO, ob. cit., pág. 39). Ac. de 30-11-1988 Revista dos Tribunais - Novembro de 1988 - Vol. 637 - Pág. 121 EMENTÁRI FORENSE. Dezembro, 1991 - ANO XLIII - Nº 517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cheque é título formal, autônomo, abstrato, que contém declaração unilateral de vontade enunciada pelo sacador por uma ordem de pagamento à vista, em dinheiro, dirigida ao sacado, em benefício do portador, correspondente à importância indicada, a obrigação é "pro solvendo", incidindo juros moratórios e correção monetária desde o dia da apresentação.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2026-06-17T14:15:35.881Z</dcterms:created>
  <dcterms:modified xsi:type="dcterms:W3CDTF">2026-06-17T14:15:35.881Z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