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/>
    <w:p>
      <w:r>
        <w:t xml:space="preserve">EFEITOS — INCIDÊNCIA DE CORREÇÃO MONETÁRIA E JUROS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juros moratórios contam-se a partir do vencimento do título cambial (art. 48 da Lei Uniforme de Genebra com relação à letra de câmbio). No caso, em se tratando de cheque, emitido em 27-11-86, a obrigação é "pro solvendo" e não é título de crédito (PAULO RESTIFFE NETO, "Lei do Cheque", Ed. RT, 1973, pág. 39). Os juros moratórios podem ser pleiteados pelo portador desde o dia da apresentação, conforme dispõe o art. 45 de Lei Uniforme do Cheque ( PAULO RESTIFFE NETO, ob. cit., pág. 122). No mesmo sentido estabelece a nova norma do cheque, ou seja, o art. 52; II; da Lei Federal 7.357, de 2-9-85. - Quanto à correção monetária, o art. 1º, § 1º, da Lei 6.899/81 declara que, nas execuções de títulos de dívida líquida e certa, a correção será calculada a contar do respectivo vencimento. - O cheque é "título formal, autônomo, abstrato, que contém uma declaração unilateral de vontade enunciada pelo sacador por uma ordem de pagamento à vista, em dinheiro, dirigida ao sacado, em benefício do portador, correspondente à importância indicada" ( PAULO RESTIFFE NETO, ob. cit., pág. 39). Ac. de 30-11-1988 Revista dos Tribunais - Novembro de 1988 - Vol. 637 - Pág. 121 EMENTÁRI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cheque é título formal, autônomo, abstrato, que contém declaração unilateral de vontade enunciada pelo sacador por uma ordem de pagamento à vista, em dinheiro, dirigida ao sacado, em benefício do portador, correspondente à importância indicada, a obrigação é "pro solvendo", incidindo juros moratórios e correção monetária desde o dia da apresentação.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2026-09-10T22:20:59.400Z</dcterms:created>
  <dcterms:modified xsi:type="dcterms:W3CDTF">2026-09-10T22:20:59.400Z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