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/>
    <w:p>
      <w:r>
        <w:t xml:space="preserve">INCIDÊNCIA DESDE A DATA DO FATO — SE DESRESPEITA A DECISÃO EXEQUENDA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invoco a decisão da 1ª Turma proferida no AI 94.128-2 - MG, relatado pelo eminente Pres. RAFAEL MAYER, em cuja ementa leio: "Recurso extraordinário - Óbice regimental (art. 325, VI) - Liquidação - Correção monetária - Coisa julgada (inocorrência) - Não excluída, de explícito, pelo acórdão exequendo a concessão de correção monetária em condenação por dívida de valor, não implica ofensa à coisa julgada, de modo a excluir a incidência do óbice regimental - Agravo regimental - Agravo regimental improvido". - Por outro lado, não sendo a correção monetária um "plus" e sendo a hipótese relativa a ressarcimento de dano por ato lesivo ao patrimônio público, não há falar em ofensa ao art. 1.061 do CC: pelos mesmos motivos, os precedentes colacionados pela agravante (referentes a dívidas de dinheiro) não se aplicam ao caso em tela. - Assiste, ao que penso, razão ao magistrado de 1º grau, que, ao homologar a conta de liquidação, referindo-se à edição da Lei 6.899/81, disse: "... o novo diploma (que igualou as "dívidas de dinheiro " às "de valor", deixando-as sujeitas a correção, quando exigidas em juízo) veio para ampliar os casos de cabimento, e não para restringir aqueles que, mesmo sem lei expressa, a jurisprudência já houvera feito merecedores de atualização, como nas ações populares constitucionais. Ac. de 13-09-1988 Revista dos Tribunais - Janeiro de 1989 - Vol. 639 - Pág. 235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determinação, em execução, da incidência de correção monetária desde a data do fato - e não apenas a partir da vigência da Lei 6.899/81 - não caracteriza desrespeito à decisão exeqüenda, seja porque esta não dispôs em sentido contrário e assim requerera expressamente o autor na petição inicial, seja pela própria natureza da "actio popularis".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2026-10-26T04:38:49.812Z</dcterms:created>
  <dcterms:modified xsi:type="dcterms:W3CDTF">2026-10-26T04:38:49.813Z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