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ESTABELECIMENTO DE ENSINO</w:t>
      </w:r>
    </w:p>
    <w:p/>
    <w:p/>
    <w:p>
      <w:r>
        <w:t xml:space="preserve">ALUGUEL — FIXAÇÃO EM QUANTIA SUPERIOR À PEDIDA PELO LOCADOR - CASO DE JULGAMENTO "EXTRA PETITA"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renomado ALFREDO BUZAID ensina, a propósito, que: "O processo renovatório tem caráter "dúplice", o que quer dizer que a contestação insere um pedido reconvencional", aduzindo, depois, que : "Na fixação do valor locativo é defeso ao juiz condenar o locatário em quantia superior àquela pleiteada pelo locador (CPC, art. 460). Se o fizer, ainda que se estribando no princípio da equidade, o julgamento é "ultra petita"", ("Da Ação Renovatória"; v. II/588, ed. Saraiva, 1981, São Paulo). Ac. de 13-06-1989 Revista dos Tribunais - Julho de 1989 - Vol. 645 - Pág. 148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renovatória não se pode fixar o valor do aluguel em quantia superior à pleiteada pelo locador, sob pena de julgamento "ultra petita".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2026-10-26T03:50:47.658Z</dcterms:created>
  <dcterms:modified xsi:type="dcterms:W3CDTF">2026-10-26T03:50:47.658Z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