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REsp 1.072.606</w:t>
      </w:r>
    </w:p>
    <w:p/>
    <w:p>
      <w:r>
        <w:t xml:space="preserve">INDENIZAÇÃO DECORRENTE DO DPVAT — SUA ILEGITIMIDADE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não tem legitimidade para pleitear, em ação civil pública, a indenização decorrente do DPVAT em benefício do segurado. Precedentes: AgRg no REsp 1.072.606 GO 2008/0139032-8 Decisão: 09/03/2010 DJE DATA: 16/03/2010 REsp 858.056 GO 2006/0120826-0 Decisão: 11/06/2008 DJE DATA: 04/08/2008 REVJUR VOL.: 374 PG: 119 AgRg no Ag 853.834 GO 2006/0282146-3 Decisão: 22/05/2007 DJ DATA: 06/08/2007 PG: 514 Data do Julgamento: 24-11-2010 DJ de 06-12-2010 RSTJ - Vol. 220 - Pág. 728 EMENTÁRIO FORENSE. Abril, 2011 - ANO LXIV - Nº 749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2026-10-26T03:42:35.995Z</dcterms:created>
  <dcterms:modified xsi:type="dcterms:W3CDTF">2026-10-26T03:42:35.995Z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