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LEI 8.213 DE 24-07-1991</w:t>
      </w:r>
    </w:p>
    <w:p/>
    <w:p/>
    <w:p>
      <w:r>
        <w:t xml:space="preserve">EMPRESA INDIVIDUAL DE RESPONSABILIDADE LIMITADA — LEI 10.406/2002 (CÓDIGO CIVIL)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12.441, DE 11 DE JULHO DE 2011 Altera a Lei nº 10.406, de 10 de janeiro de 2002 (Código Civil), para permitir a constituição de empresa individual de responsabilidade limitada. A PRESIDENTA DA REPÚBLICA Faço saber que o Congresso Nacional decreta e eu sanciono a seguinte Lei: Art. 1º Esta Lei acrescenta inciso VI ao art. 44, acrescenta art. 980-A ao Livro II da Parte Especial e altera o parágrafo único do art. 1.033, todos da Lei nº 10.406, de 10 de janeiro de 2002 (Código Civil), de modo a instituir a empresa individual de responsabilidade limitada, nas condições que especifica. Art. 2º A Lei nº 10.406, de 10 de janeiro de 2002 (Código Civil), passa a vigorar com as seguintes alterações: "Art. 44. .................. .................................. VI - as empresas individuais de responsabilidade limitada. ......................" (NR) "LIVRO II .................................. TÍTULO I-A DA EMPRESA INDIVIDUAL DE RESPONSABILIDADE LIMITADA Art. 980-A. A empresa individual de responsabilidade limitada será constituída por uma única pessoa titular da totalidade do capital social, devidamente integralizado, que não será inferior a 100 (cem) vezes o maior salário-mínimo vigente no País. § 1º O nome empresarial deverá ser formado pela inclusão da expressão "EIRELI" após a firma ou a denominação social da empresa individual de responsabilidade limitada. § 2º A pessoa natural que constituir empresa individual de responsabilidade limitada somente poderá figurar em uma única empresa dessa modalidade. § 3º A empresa individual de responsabilidade limitada também poderá resultar da concentração das quotas de outra modalidade societária num único sócio, independentemente das razões que motivaram tal concentração. § 4º ( VETADO). § 5º Poderá ser atribuída à empresa individual de responsabilidade limitada constituída para a prestação de serviços de qualquer natureza a remuneração decorrente da cessão de direitos patrimoniais de autor ou de imagem, nome, marca ou voz de que seja detentor o titular da pessoa jurídica, vinculados à atividade profissional. § 6º Aplicam-se à empresa individual de responsabilidade limitada, no que couber, as regras previstas para as sociedades limitadas. ................................" "Art. 1.033. ............ ................................. Parágrafo único. Não se aplica o disposto no inciso IV caso o sócio remanescente, inclusive na hipótese de concentração de todas as cotas da sociedade sob sua titularidade, requeira, no Registro Público de Empresas Mercantis, a transformação do registro da sociedade para empresário individual ou para empresa individual de responsabilidade limitada, observado, no que couber, o disposto nos arts. 1.113 a 1.115 deste Código." (NR) Art. 3º Esta Lei entra em vigor 180 (cento e oitenta) dias após a data de sua publicação. Brasília, 11 de julho de 2011; 190º da Independência e 123º da República. DILMA ROUSSEFF José Eduardo Cardozo Nelson Henrique Barbosa Filho Paulo Roberto dos Santos Pinto Luis Inácio Lucena Adams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2026-07-28T04:19:12.131Z</dcterms:created>
  <dcterms:modified xsi:type="dcterms:W3CDTF">2026-07-28T04:19:12.131Z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