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8.213 DE 24-07-1991</w:t>
      </w:r>
    </w:p>
    <w:p/>
    <w:p/>
    <w:p>
      <w:r>
        <w:t xml:space="preserve">EMPRESA INDIVIDUAL DE RESPONSABILIDADE LIMITADA — LEI 10.406/2002 (CÓDIGO CIVIL)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12.441, DE 11 DE JULHO DE 2011 Altera a Lei nº 10.406, de 10 de janeiro de 2002 (Código Civil), para permitir a constituição de empresa individual de responsabilidade limitada. A PRESIDENTA DA REPÚBLICA Faço saber que o Congresso Nacional decreta e eu sanciono a seguinte Lei: Art. 1º Esta Lei acrescenta inciso VI ao art. 44, acrescenta art. 980-A ao Livro II da Parte Especial e altera o parágrafo único do art. 1.033, todos da Lei nº 10.406, de 10 de janeiro de 2002 (Código Civil), de modo a instituir a empresa individual de responsabilidade limitada, nas condições que especifica. Art. 2º A Lei nº 10.406, de 10 de janeiro de 2002 (Código Civil), passa a vigorar com as seguintes alterações: "Art. 44. .................. .................................. VI - as empresas individuais de responsabilidade limitada. ......................" (NR) "LIVRO II .................................. TÍTULO I-A DA EMPRESA INDIVIDUAL DE RESPONSABILIDADE LIMITADA Art. 980-A. A empresa individual de responsabilidade limitada será constituída por uma única pessoa titular da totalidade do capital social, devidamente integralizado, que não será inferior a 100 (cem) vezes o maior salário-mínimo vigente no País. § 1º O nome empresarial deverá ser formado pela inclusão da expressão "EIRELI" após a firma ou a denominação social da empresa individual de responsabilidade limitada. § 2º A pessoa natural que constituir empresa individual de responsabilidade limitada somente poderá figurar em uma única empresa dessa modalidade. § 3º A empresa individual de responsabilidade limitada também poderá resultar da concentração das quotas de outra modalidade societária num único sócio, independentemente das razões que motivaram tal concentração. § 4º ( VETADO). § 5º Poderá ser atribuída à empresa individual de responsabilidade limitada constituída para a prestação de serviços de qualquer natureza a remuneração decorrente da cessão de direitos patrimoniais de autor ou de imagem, nome, marca ou voz de que seja detentor o titular da pessoa jurídica, vinculados à atividade profissional. § 6º Aplicam-se à empresa individual de responsabilidade limitada, no que couber, as regras previstas para as sociedades limitadas. ................................" "Art. 1.033. ............ ................................. Parágrafo único. Não se aplica o disposto no inciso IV caso o sócio remanescente, inclusive na hipótese de concentração de todas as cotas da sociedade sob sua titularidade, requeira, no Registro Público de Empresas Mercantis, a transformação do registro da sociedade para empresário individual ou para empresa individual de responsabilidade limitada, observado, no que couber, o disposto nos arts. 1.113 a 1.115 deste Código." (NR) Art. 3º Esta Lei entra em vigor 180 (cento e oitenta) dias após a data de sua publicação. Brasília, 11 de julho de 2011; 190º da Independência e 123º da República. DILMA ROUSSEFF José Eduardo Cardozo Nelson Henrique Barbosa Filho Paulo Roberto dos Santos Pinto Luis Inácio Lucena Adams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2026-10-26T02:34:50.376Z</dcterms:created>
  <dcterms:modified xsi:type="dcterms:W3CDTF">2026-10-26T02:34:50.376Z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