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8.213 DE 24-07-1991</w:t>
      </w:r>
    </w:p>
    <w:p/>
    <w:p/>
    <w:p>
      <w:r>
        <w:t xml:space="preserve">01. LEI COMPLEMENTAR 123 DE 14-12-2006 — DISPOSITIVOS - ALTERA</w:t>
      </w:r>
    </w:p>
    <w:p/>
    <w:p>
      <w:pPr>
        <w:pStyle w:val="Heading2"/>
      </w:pPr>
      <w:r>
        <w:rPr>
          <w:b/>
          <w:bCs/>
        </w:rPr>
        <w:t xml:space="preserve">Ementa</w:t>
      </w:r>
    </w:p>
    <w:p>
      <w:r>
        <w:t xml:space="preserve">LEI COMPLEMENTAR Nº 139, DE 10 DE NOVEMBRO DE 2011 Altera dispositivos da Lei Complementar nº 123, de 14 de dezembro de 2006, e dá outras providências. A PRESIDENTA DA REPÚBLICA Faço saber que o Congresso Nacional decreta e eu sanciono a seguinte Lei Complementar: Art. 1º Os arts. 4º, 9º, 16, 18-B, 18-C, 21, 24, 26, 29, 32, 33, 34 e 39 da Lei Complementar nº 123, de 14 de dezembro de 2006, passam a vigorar com as seguintes alterações: (Vide) "Art. 4º ................... § 1º O processo de abertura, registro, alteração e baixa do Microempreendedor Individual (MEI) de que trata o art. 18-A desta Lei Complementar, bem como qualquer exigência para o início de seu funcionamento, deverão ter trâmite especial e simplificado, preferencialmente eletrônico, opcional para o empreendedor na forma a ser disciplinada pelo CGSIM, observado o seguinte: I - poderão ser dispensados o uso da firma, com a respectiva assinatura autógrafa, o capital, requerimentos, demais assinaturas, informações relativas ao estado civil e regime de bens, bem como remessa de documentos, na forma estabelecida pelo CGSIM; e II - o cadastro fiscal estadual ou municipal poderá ser simplificado ou ter sua exigência postergada, sem prejuízo da possibilidade de emissão de documentos fiscais de compra, venda ou prestação de serviços, vedada, em qualquer hipótese, a imposição de custos pela autorização para emissão, inclusive na modalidade avulsa. § 2º (Revogado). ....................." (NR) "Art. 9º ................... .................................. § 3º No caso de existência de obrigações tributárias, previdenciárias ou trabalhistas referidas no caput, o titular, o sócio ou o administrador da microempresa e da empresa de pequeno porte que se encontre sem movimento há mais de 12 (doze) meses poderá solicitar a baixa nos registros dos órgãos públicos federais, estaduais e municipais independentemente do pagamento de débitos tributários, taxas ou multas devidas pelo atraso na entrega das respectivas declarações nesses períodos, observado o disposto nos §§ 4º e 5º. § 4º A baixa referida no § 3º não impede que, posteriormente, sejam lançados ou cobrados impostos, contribuições e respectivas penalidades, decorrentes da simples falta de recolhimento ou da prática comprovada e apurada em processo administrativo ou judicial de outras irregularidades praticadas pelos empresários, pelas microempresas, pelas empresas de pequeno porte ou por seus titulares, sócios ou administradores. ................................. § 10. No caso de existência de obrigações tributárias, previdenciárias ou trabalhistas, principais ou acessórias, o MEI poderá, a qualquer momento, solicitar a baixa nos registros independentemente do pagamento de débitos tributários, taxas ou multas devidas pelo atraso na entrega das respectivas declarações nesses períodos, observado o disposto nos §§ 1º e 2º. § 11. A baixa referida no § 10 não impede que, posteriormente, sejam lançados ou cobrados do titular impostos, contribuições e respectivas penalidades, decorrentes da simples falta de recolhimento ou da prática comprovada e apurada em processo administrativo ou judicial de outras irregularidades praticadas pela empresa ou por seu titular. § 12. A solicitação de baixa na hipótese prevista no § 10 importa assunção pelo titular das obrigações ali descritas." (NR) "Art. 16. ................. ................................ § 1º-A. A opção pelo Simples Nacional implica aceitação de sistema de comunicação eletrônica, destinado, dentre outras finalidades, a: I - cientificar o sujeito passivo de quaisquer tipos de atos administrativos, incluídos os relativos ao indeferimento de opção, à exclusão do regime e a ações fiscais; II - encaminhar notificações e intimações; e III - expedir avisos em geral. § 1º-B. O sistema de comunicação eletrônica de que trata o § 1º-A será regulamentado pelo CGSN, observando-se o seguinte: I - as comunicações serão feitas, por meio eletrônico, em portal próprio, dispensando-se a sua publicação no Diário Oficial e o envio por via postal; II - a comunicação feita na forma prevista no caput será considerada pessoal para todos os efeitos legais; III - a ciência por meio do sistema de que trata o § 1º-A com utilização de certificação digital ou de código de acesso possuirá os requisitos de validade; IV - considerar-se-á realizada a comunicação no dia em que o sujeito passivo efetivar a consulta eletrônica ao teor da comunicação; e V - na hipótese do inciso IV, nos casos em que a cons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2026-07-28T00:04:53.656Z</dcterms:created>
  <dcterms:modified xsi:type="dcterms:W3CDTF">2026-07-28T00:04:53.656Z</dcterms:modified>
</cp:coreProperties>
</file>

<file path=docProps/custom.xml><?xml version="1.0" encoding="utf-8"?>
<Properties xmlns="http://schemas.openxmlformats.org/officeDocument/2006/custom-properties" xmlns:vt="http://schemas.openxmlformats.org/officeDocument/2006/docPropsVTypes"/>
</file>