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8.213 DE 24-07-1991</w:t>
      </w:r>
    </w:p>
    <w:p/>
    <w:p>
      <w:r>
        <w:rPr>
          <w:b/>
          <w:bCs/>
        </w:rPr>
        <w:t xml:space="preserve">Recurso: </w:t>
      </w:r>
      <w:r>
        <w:t xml:space="preserve">re -</w:t>
      </w:r>
    </w:p>
    <w:p/>
    <w:p>
      <w:r>
        <w:t xml:space="preserve">01. ACESSO A INFORMAÇÕES PREVISTO NO INC XXXIII DO ART. 5º, NO INC II DO § 3º DO ART. 37 E NO § 2º DO ART 216 DA CONSTITUIÇÃO FEDERAL — REGULA</w:t>
      </w:r>
    </w:p>
    <w:p/>
    <w:p>
      <w:pPr>
        <w:pStyle w:val="Heading2"/>
      </w:pPr>
      <w:r>
        <w:rPr>
          <w:b/>
          <w:bCs/>
        </w:rPr>
        <w:t xml:space="preserve">Ementa</w:t>
      </w:r>
    </w:p>
    <w:p>
      <w:r>
        <w:t xml:space="preserve">LEI Nº 12.527, DE 18 DE NOVEMBRO DE 2011 Regula o acesso a informações previsto no inciso XXXIII do art. 5º, no inciso II do § 3º do art. 37 e no § 2º do art. 216 da Constituição Federal; altera a Lei nº 8.112, de 11 de dezembro de 1990; revoga a Lei nº 11.111, de 5 de maio de 2005, e dispositivos da Lei nº 8.159, de 8 de janeiro de 1991; e dá outras providências. A PRESIDENTA DA REPÚBLICA Faço saber que o Congresso Nacional decreta e eu sanciono a seguinte Lei: CAPÍTULO I DISPOSIÇÕES GERAIS Art. 1º Esta Lei dispõe sobre os procedimentos a serem observados pela União, Estados, Distrito Federal e Municípios, com o fim de garantir o acesso a informações previsto no inciso XXXIII do art. 5º, no inciso II do § 3º do art. 37 e no § 2º do art. 216 da Constituição Federal. Parágrafo único. Subordinam-se ao regime desta Lei: I - os órgãos públicos integrantes da administração direta dos Poderes Executivo, Legislativo, incluindo as Cortes de Contas, e Judiciário e do Ministério Público; II - as autarquias, as fundações públicas, as empresas públicas, as sociedades de economia mista e demais entidades controladas direta ou indiretamente pela União, Estados, Distrito Federal e Municípios. Art. 2º Aplicam-se as disposições desta Lei, no que couber, às entidades privadas sem fins lucrativos que recebam, para realização de ações de interesse público, recursos públicos diretamente do orçamento ou mediante subvenções sociais, contrato de gestão, termo de parceria, convênios, acordo, ajustes ou outros instrumentos congêneres. Parágrafo único. A publicidade a que estão submetidas as entidades citadas no caput refere-se à parcela dos recursos públicos recebidos e à sua destinação, sem prejuízo das prestações de contas a que estejam legalmente obrigadas. Art. 3º Os procedimentos previstos nesta Lei destinam-se a assegurar o direito fundamental de acesso à informação e devem ser executados em conformidade com os princípios básicos da administração pública e com as seguintes diretrizes: I - observância da publicidade como preceito geral e do sigilo como exceção; II - divulgação de informações de interesse público, independentemente de solicitações; III - utilização de meios de comunicação viabilizados pela tecnologia da informação; IV - fomento ao desenvolvimento da cultura de transparência na administração pública; V - desenvolvimento do controle social da administração pública. Art. 4º Para os efeitos desta Lei, considera-se: I - informação: dados, processados ou não, que podem ser utilizados para produção e transmissão de conhecimento, contidos em qualquer meio, suporte ou formato; II - documento: unidade de registro de informações, qualquer que seja o suporte ou formato; III - informação sigilosa: aquela submetida temporariamente à restrição de acesso público em razão de sua imprescindibilidade para a segurança da sociedade e do Estado; IV - informação pessoal: aquela relacionada à pessoa natural identificada ou identificável; V - tratamento da informação: conjunto de ações referentes à produção, recepção, classificação, utilização, acesso, reprodução, transporte, transmissão, distribuição, arquivamento, armazenamento, eliminação, avaliação, destinação ou controle da informação; VI - disponibilidade: qualidade da informação que pode ser conhecida e utilizada por indivíduos, equipamentos ou sistemas autorizados; VII - autenticidade: qualidade da informação que tenha sido produzida, expedida, recebida ou modificada por determinado indivíduo, equipamento ou sistema; VIII - integridade: qualidade da informação não modificada, inclusive quanto à origem, trânsito e destino; IX - primariedade: qualidade da informação coletada na fonte, com o máximo de detalhamento possível, sem modificações. Art. 5º É dever do Estado garantir o direito de acesso à informação, que será franqueada, mediante procedimentos objetivos e ágeis, de forma transparente, clara e em linguagem de fácil compreensão. CAPÍTULO II DO ACESSO A INFORMAÇÕES E DA SUA DIVULGAÇÃO Art. 6º Cabe aos órgãos e entidades do poder público, observadas as normas e procedimentos específicos aplicáveis, assegurar a: I - gestão transparente da informação, propiciando amplo acesso a ela e sua divulgação; II - proteção da informação, garantindo-se sua disponibilidade, autenticidade e integridade; e III - proteção da informação sigilosa e da informação pessoal, observada a sua disponibilidade, autenticidade, integridade e eventual restrição de acesso. Art. 7º O acesso à informação de que trata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2026-07-28T01:44:03.675Z</dcterms:created>
  <dcterms:modified xsi:type="dcterms:W3CDTF">2026-07-28T01:44:03.675Z</dcterms:modified>
</cp:coreProperties>
</file>

<file path=docProps/custom.xml><?xml version="1.0" encoding="utf-8"?>
<Properties xmlns="http://schemas.openxmlformats.org/officeDocument/2006/custom-properties" xmlns:vt="http://schemas.openxmlformats.org/officeDocument/2006/docPropsVTypes"/>
</file>