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TERRITORIAL RURAL - ITR</w:t>
      </w:r>
    </w:p>
    <w:p>
      <w:r>
        <w:rPr>
          <w:i/>
          <w:iCs/>
          <w:color w:val="666666"/>
        </w:rPr>
        <w:t xml:space="preserve">LEI 5.868 DE 12-12-1972</w:t>
      </w:r>
    </w:p>
    <w:p/>
    <w:p/>
    <w:p>
      <w:r>
        <w:t xml:space="preserve">IMPOSTO SOBRE A PROPRIEDADE TERRITORIAL RURAL — ITR - PAGAMENTO DA DÍVIDA REPRESENTADA POR TÍTULOS DA DÍVIDA AGRÁRIA</w:t>
      </w:r>
    </w:p>
    <w:p/>
    <w:p>
      <w:pPr>
        <w:pStyle w:val="Heading2"/>
      </w:pPr>
      <w:r>
        <w:rPr>
          <w:b/>
          <w:bCs/>
        </w:rPr>
        <w:t xml:space="preserve">Ementa</w:t>
      </w:r>
    </w:p>
    <w:p>
      <w:r>
        <w:t xml:space="preserve">LEI Nº 9.393, DE 19 DE DEZEMBRO DE 1996 Dispõe sobre o Imposto sobre a Propriedade Territorial Rural - ITR, sobre pagamento da dívida representada por Títulos da Dívida Agrária e dá outras providências. O PRESIDENTE DA REPÚBLICA Faço saber que o Congresso Nacional decreta e eu sanciono a seguinte Lei: CAPÍTULO I DO IMPOSTO SOBRE A PROPRIEDADE TERRITORIAL RURAL - ITR Seção I Do Fato Gerador do ITR Definição Art. 1º O Imposto sobre a Propriedade Territorial Rural - ITR, de apuração anual, tem como fato gerador a propriedade, o domínio útil ou a posse de imóvel por natureza, localizado fora da zona urbana do município, em 1º de janeiro de cada ano. § 1º O ITR incide inclusive sobre o imóvel declarado de interesse social para fins de reforma agrária, enquanto não transferida a propriedade, exceto se houver imissão prévia na posse. § 2º Para os efeitos desta Lei, considera-se imóvel rural a área contínua, formada de uma ou mais parcelas de terras, localizada na zona rural do município. § 3º O imóvel que pertencer a mais de um município deverá ser enquadrado no município onde fique a sede do imóvel e, se esta não existir, será enquadrado no município onde se localize a maior parte do imóvel. Imunidade Art. 2º Nos termos do art. 153, § 4º, in fine, da Constituição, o imposto não incide sobre pequenas glebas rurais, quando as explore, só ou com sua família, o proprietário que não possua outro imóvel. Parágrafo único. Para os efeitos deste artigo, pequenas glebas rurais são os imóveis com área igual ou inferior a : I - 100 ha, se localizado em município compreendido na Amazônia Ocidental ou no Pantanal mato-grossense e sul-mato-grossense; II - 50 ha, se localizado em município compreendido no Polígono das Secas ou na Amazônia Oriental; III - 30 ha, se localizado em qualquer outro município. Seção II Da Isenção Art. 3º São isentos do imposto: I - o imóvel rural compreendido em programa oficial de reforma agrária, caracterizado pelas autoridades competentes como assentamento, que, cumulativamente, atenda aos seguintes requisitos: a) seja explorado por associação ou cooperativa de produção; b) a fração ideal por família assentada não ultrapasse os limites estabelecidos no artigo anterior; c) o assentado não possua outro imóvel. II - o conjunto de imóveis rurais de um mesmo proprietário, cuja área total observe os limites fixados no parágrafo único do artigo anterior, desde que, cumulativamente, o proprietário: a) o explore só ou com sua família, admitida ajuda eventual de terceiros; b) não possua imóvel urbano. Seção III Do Contribuinte e do Responsável Contribuinte Art. 4º Contribuinte do ITR é o proprietário de imóvel rural, o titular de seu domínio útil ou o seu possuidor a qualquer título. Parágrafo único. O domicílio tributário do contribuinte é o município de localização do imóvel, vedada a eleição de qualquer outro. Responsável Art. 5º É responsável pelo crédito tributário o sucessor, a qualquer título, nos termos dos arts. 128 a 133 da Lei nº 5.172, de 25 de outubro de 1966 (Sistema Tributário Nacional). Seção IV Das Informações Cadastrais Entrega do DIAC Art. 6º O contribuinte ou o seu sucessor comunicará ao órgão local da Secretaria da Receita Federal (SRF), por meio do Documento de Informação e Atualização Cadastral do ITR - DIAC, as informações cadastrais correspondentes a cada imóvel, bem como qualquer alteração ocorrida, na forma estabelecida pela Secretaria da Receita Federal. § 1º É obrigatória, no prazo de sessenta dias, contado de sua ocorrência, a comunicação das seguintes alterações: I - desmembramento; II - anexação; III - transmissão, por alienação da propriedade ou dos direitos a ela inerentes, a qualqu er título; IV - sucessão causa mortis; V - cessão de direitos; VI - constituição de reservas ou usufruto. § 2º As informações cadastrais integrarão o Cadastro de Imóveis Rurais - CAFIR, administrado pela Secretaria da Receita Federal, que poderá, a qualquer tempo, solicitar informações visando à sua atualização. § 3º Sem prejuízo do disposto no parágrafo único do art. 4º, o contribuinte poderá indicar no DIAC, somente para fins de intimação, endereço diferente daquele constante do domicílio tributário, que valerá para esse efeito até ulterior alteração. Entrega do DIAC Fora do Prazo Art. 7º No caso de apresentação espontânea do DIAC fora do prazo estabelecido pela Secretaria da Receita Federal, será cobrada multa de 1% (um por cento) ao mês ou fração sobre o imposto devido não inferior a R$ 50,00 (cinqüenta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2026-07-28T07:02:17.541Z</dcterms:created>
  <dcterms:modified xsi:type="dcterms:W3CDTF">2026-07-28T07:02:17.541Z</dcterms:modified>
</cp:coreProperties>
</file>

<file path=docProps/custom.xml><?xml version="1.0" encoding="utf-8"?>
<Properties xmlns="http://schemas.openxmlformats.org/officeDocument/2006/custom-properties" xmlns:vt="http://schemas.openxmlformats.org/officeDocument/2006/docPropsVTypes"/>
</file>