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REFORMA AGRÁRIA</w:t>
      </w:r>
    </w:p>
    <w:p>
      <w:r>
        <w:rPr>
          <w:i/>
          <w:iCs/>
          <w:color w:val="666666"/>
        </w:rPr>
        <w:t xml:space="preserve">LEI 4.947 DE 06-04-1966</w:t>
      </w:r>
    </w:p>
    <w:p/>
    <w:p/>
    <w:p>
      <w:r>
        <w:t xml:space="preserve">02. LEI DE REGISTROS PÚBLICOS</w:t>
      </w:r>
    </w:p>
    <w:p/>
    <w:p>
      <w:pPr>
        <w:pStyle w:val="Heading2"/>
      </w:pPr>
      <w:r>
        <w:rPr>
          <w:b/>
          <w:bCs/>
        </w:rPr>
        <w:t xml:space="preserve">Ementa</w:t>
      </w:r>
    </w:p>
    <w:p>
      <w:r>
        <w:t xml:space="preserve">TÍTULO II Do Registro de Pessoas Naturais CAPÍTULO I Disposições Gerais Art. 29. Serão registrados no registro civil de pessoas naturais: I - os nascimentos; (Regulamento). II - os casamentos; (Regulamento). III - os óbitos; (Regulamento). IV - as emancipações; V - as interdições; VI - as sentenças declaratórias de ausência; VII - as opções de nacionalidade; VIII - as sentenças que deferirem a legitimação adotiva. § 1º Serão averbados: a) as sentenças que decidirem a nulidade ou anulação do casamento, o desquite e o restabelecimento da sociedade conjugal; b) as sentenças que julgarem ilegítimos os filhos concebidos na constância do casamento e as que declararem a filiação legítima; c) os casamentos de que resultar a legitimação de filhos havidos ou concebidos anteriormente; d) os atos judiciais ou extrajudiciais de reconhecimento de filhos ilegítimos; e) as escrituras de adoção e os atos que a dissolverem; f) as alterações ou abreviaturas de nomes. § 2º É competente para a inscrição da opção de nacionalidade o cartório da residência do optante, ou de seus pais. Se forem residentes no estrangeiro, far-se-á o registro no Distrito Federal. Art. 30. Não serão cobrados emolumentos pelo registro civil de nascimento e pelo assento de óbito, bem como pela primeira certidão respectiva. (Redação dada pela Lei 9.534/97) § 1º Os reconhecidamente pobres estão isentos de pagamento de emolumentos pelas demais certidões extraídas pelo cartório de registro civil. (Redação dada pela Lei 9.534/97) § 2º O estado de pobreza será comprovado por declaração do próprio interessado ou a rogo, tratando-se de analfabeto, neste caso, acompanhada da assinatura de duas testemunhas. (Redação dada pela Lei 9.534/97) § 3º A falsidade da declaração ensejará a responsabilidade civil e criminal do interessado. (Incluído pela Lei 9.534/97) § 3º-A Comprovado o descumprimento, pelos oficiais de Cartórios de Registro Civil, do disposto no caput deste artigo, aplicar-se-ão as penalidades previstas nos arts. 32 e 33 da Lei nº 8.935, de 18 de novembro de 1994. (Incluído pela Lei 9.812/99) § 3º-B Esgotadas as penalidades a que se refere o parágrafo anterior e verificando-se novo descumprimento, aplicar-se-á o disposto no art. 39 da Lei nº 8.935, de 18 de novembro de 1994. (Incluído pela Lei 9.812/99) § 3º-C. Os cartórios de registros públicos deverão afixar, em local de grande visibilidade, que permita fácil leitura e acesso ao público, quadros contendo tabelas atualizadas das custas e emolumentos, além de informações claras sobre a gratuidade prevista no caput deste artigo. (Incluído pela Lei nº 11.802, de 2008). § 4º É proibida a inserção nas certidões de que trata o § 1º deste artigo de expressões que indiquem condição de pobreza ou semelhantes. (Incluído pela Lei 11.789/2008) Art. 31. Os fatos concernentes ao registro civil, que se derem a bordo dos navios de guerra e mercantes, em viagem, e no exército, em campanha, serão imediatamente registrados e comunicados em tempo oportuno, por cópia autêntica, aos respectivos Ministérios, a fim de que, através do Ministério da Justiça, sejam ordenados os assentamentos, notas ou averbações nos livros competentes das circunscrições a que se referirem. Art. 32. Os assentos de nascimento, óbito e de casamento de brasileiros em país estrangeiro serão considerados autênticos, nos termos da lei do lugar em que forem feitos, legalizadas as certidões pelos cônsules ou quando por estes tomados, nos termos do regulamento consular. § 1º Os assentos de que trata este artigo serão, porém, transladados nos cartórios de 1º Ofício do domicílio do registrado ou nº 1º Ofício do Distrito Federal, em falta de domicílio conhecido, quando tiverem de produzir efeito no País, ou, antes, por meio de segunda via que os cônsules serão obrigados a remeter por intermédio do Ministério das Relações Exteriores. § 2° O filho de brasileiro ou brasileira, nascido no estrangeiro, e cujos pais não estejam ali a serviço do Brasil, desde que registrado em consulado brasileiro ou não registrado, venha a residir no território nacional antes de atingir a maioridade, poderá requerer, no juízo de seu domicílio, se registre, no livro "E" do 1º Ofício do Registro Civil, o termo de nascimento. § 3º Do termo e das respectivas certidões do nascimento registrado na forma do parágrafo antecedente constará que só valerão como prova de nacionalidade brasileira, até quatro (4) anos depois de atingida a maioridade. § 4º Dentro do prazo de quatro anos, depois de atingida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2026-06-17T15:21:14.163Z</dcterms:created>
  <dcterms:modified xsi:type="dcterms:W3CDTF">2026-06-17T15:21:14.163Z</dcterms:modified>
</cp:coreProperties>
</file>

<file path=docProps/custom.xml><?xml version="1.0" encoding="utf-8"?>
<Properties xmlns="http://schemas.openxmlformats.org/officeDocument/2006/custom-properties" xmlns:vt="http://schemas.openxmlformats.org/officeDocument/2006/docPropsVTypes"/>
</file>