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RETIFICAÇÃO DE REGISTRO CIVIL</w:t>
      </w:r>
    </w:p>
    <w:p/>
    <w:p/>
    <w:p>
      <w:r>
        <w:t xml:space="preserve">04. LEI DE REGISTROS PÚBLICOS</w:t>
      </w:r>
    </w:p>
    <w:p/>
    <w:p>
      <w:pPr>
        <w:pStyle w:val="Heading2"/>
      </w:pPr>
      <w:r>
        <w:rPr>
          <w:b/>
          <w:bCs/>
        </w:rPr>
        <w:t xml:space="preserve">Ementa</w:t>
      </w:r>
    </w:p>
    <w:p>
      <w:r>
        <w:t xml:space="preserve">CAPÍTULO XIV Das Retificações, Restaurações e Suprimentos Art. 109. Quem pretender que se restaure, supra ou retifique assentamento no Registro Civil, requererá, em petição fundamentada e instruída com documentos ou com indicação de testemunhas, que o Juiz o ordene, ouvido o órgão do Ministério Público e os interessados, no prazo de cinco dias, que correrá em cartório. (Renumerado do art. 110 pela Lei 6.216/75). § 1º Se qualquer interessado ou o órgão do Ministério Público impugnar o pedido, o Juiz determinará a produção da prova, dentro do prazo de dez dias e ouvidos, sucessivamente, em três dias, os interessados e o órgão do Ministério Público, decidirá em cinco dias. § 2º Se não houver impugnação ou necessidade de mais provas, o Juiz decidirá no prazo de cinco dias. § 3º Da decisão do Juiz, caberá o recurso de apelação com ambos os efeitos. § 4º Julgado procedente o pedido, o Juiz ordenará que se expeça mandado para que seja lavrado, restaurado e retificado o assentamento, indicando, com precisão, os fatos ou circunstâncias que devam ser retificados, e em que sentido, ou os que devam ser objeto do novo assentamento. § 5º Se houver de ser cumprido em jurisdição diversa, o mandado será remetido, por ofício, ao Juiz sob cuja jurisdição estiver o cartório do Registro Civil e, com o seu "cumpra-se", executar-se-á. § 6º As retificações serão feitas à margem do registro, com as indicações necessárias, ou, quando for o caso, com a trasladação do mandado, que ficará arquivado. Se não houver espaço, far-se-á o transporte do assento, com as remissões à margem do registro original. Art. 110. Os erros que não exijam qualquer indagação para a constatação imediata de necessidade de sua correção poderão ser corrigidos de ofício pelo oficial de registro no próprio cartório onde se encontrar o assentamento, mediante petição assinada pelo interessado, representante le gal ou procurador, independentemente de pagamento de selos e taxas, após manifestação conclusiva do Ministério Público.(Redação dada pela Lei 12.100/2009). § 1º Recebido o requerimento instruído com os documentos que comprovem o erro, o oficial submetê-lo-á ao órgão do Ministério Público que o despachará em 5 (cinco) dias. (Redação dada pela Lei 12.100/2009). § 2º Quando a prova depender de dados existentes no próprio cartório, poderá o oficial certificá-lo nos autos. (Redação dada pela Lei 12.100/2009). § 3º Entendendo o órgão do Ministério Público que o pedido exige maior indagação, requererá ao juiz a distribuição dos autos a um dos cartórios da circunscrição, caso em que se processará a retificação, com assistência de advogado, observado o rito sumaríssimo. (Redação dada pela Lei 12.100/2009). § 4º Deferido o pedido, o oficial averbará a retificação à margem do registro, mencionando o número do protocolo e a data da sentença e seu trânsito em julgado, quando for o caso. (Redação dada pela Lei 12.100/2009). Art. 111. Nenhuma justificação em matéria de registro civil, para retificação, restauração ou abertura de assento, será entregue à parte. (Renumerado do art. 112 pela Lei 6.216/75). Art. 112. Em qualquer tempo poderá ser apreciado o valor probante da justificação, em original ou por traslado, pela autoridade judiciária competente ao conhecer de ações que se relacionarem com os fatos justificados. (Renumerado do art. 113 pela Lei 6.216/75). Art. 113. As questões de filiação legítima ou ilegítima serão decididas em processo contencioso para anulação ou reforma de assento. (Renumerado do art. 114 pela Lei 6.216/75). TÍTULO III Do Registro Civil de Pessoas Jurídicas CAPÍTULO I Da Escrituração Art. 114. No Registro Civil de Pessoas Jurídicas serão inscritos: (Renumerado do art. 115 pela Lei 6.216/75). I - os contratos, os atos constitutivos, o estatuto ou compromissos das sociedades civis, religiosas, pias, morais, científicas ou literárias, bem como o das fundações e das associações de utilidade pública; II - as sociedades civis que revestirem as formas estabelecidas nas leis comerciais, salvo as anônimas. III - os atos constitutivos e os estatutos dos partidos políticos. (Incluído pela Lei 9.096/95) Parágrafo único. No mesmo cartório será feito o registro dos jornais, periódicos, oficinas impressoras, empresas de radiodifusão e agências de notícias a que se refere o art. 8º da Lei nº 5.250, de 9-2-1967. Art. 115. Não poderão ser registrados os atos constitutivos de pessoas jurídicas, quando o seu objeto ou circunstâncias relevantes indiquem destino ou atividades ilí</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2026-07-28T03:53:43.527Z</dcterms:created>
  <dcterms:modified xsi:type="dcterms:W3CDTF">2026-07-28T03:53:43.527Z</dcterms:modified>
</cp:coreProperties>
</file>

<file path=docProps/custom.xml><?xml version="1.0" encoding="utf-8"?>
<Properties xmlns="http://schemas.openxmlformats.org/officeDocument/2006/custom-properties" xmlns:vt="http://schemas.openxmlformats.org/officeDocument/2006/docPropsVTypes"/>
</file>