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DOCUMENTO ESTRANGEIRO</w:t>
      </w:r>
    </w:p>
    <w:p>
      <w:r>
        <w:rPr>
          <w:i/>
          <w:iCs/>
          <w:color w:val="666666"/>
        </w:rPr>
        <w:t xml:space="preserve">INSCRIÇÃO NO REGISTRO PÚBLICO</w:t>
      </w:r>
    </w:p>
    <w:p/>
    <w:p/>
    <w:p>
      <w:r>
        <w:t xml:space="preserve">08. LEI DE REGISTROS PÚBLICOS</w:t>
      </w:r>
    </w:p>
    <w:p/>
    <w:p>
      <w:pPr>
        <w:pStyle w:val="Heading2"/>
      </w:pPr>
      <w:r>
        <w:rPr>
          <w:b/>
          <w:bCs/>
        </w:rPr>
        <w:t xml:space="preserve">Ementa</w:t>
      </w:r>
    </w:p>
    <w:p>
      <w:r>
        <w:t xml:space="preserve">CAPÍTULO V Dos Títulos Art. 221 - Somente são admitidos registro: (Renumerado com nova redação pela Lei 6.216/75). I - escrituras públicas, inclusive as lavradas em consulados brasileiros; II - escritos particulares autorizados em lei, assinados pelas partes e testemunhas, com as firmas reconhecidas, dispensado o reconhecimento quando se tratar de atos praticados por entidades vinculadas ao Sistema Financeiro da Habitação; III - atos autênticos de países estrangeiros, com força de instrumento público, legalizados e traduzidos na forma da lei, e registrados no cartório do Registro de Títulos e Documentos, assim como sentenças proferidas por tribunais estrangeiros após homologação pelo Supremo Tribunal Federal; IV - cartas de sentença, formais de partilha, certidões e mandados extraídos de autos de processo. V - contratos ou termos administrativos, assinados com a União, Estados, Municípios ou o Distrito Federal, no âmbito de programas de regularização fundiária e de programas habitacionais de interesse social, dispensado o reconhecimento de firma. (Redação dada pela Lei 12.424/2011) § 1º Serão registrados os contratos e termos mencionados no inciso V do caput assinados a rogo com a impressão dactiloscópica do beneficiário, quando este for analfabeto ou não puder assinar, acompanhados da assinatura de 2 (duas) testemunhas. (Incluído pela Lei 12.424/2011) § 2º Os contratos ou termos administrativos mencionados no inciso V do caput poderão ser celebrados constando apenas o nome e o número de documento oficial do beneficiário, podendo sua qualificação completa ser efetuada posteriormente, no momento do registro do termo ou contrato, mediante simples requerimento do interessado dirigido ao registro de imóveis. (Incluído pela Lei 12.424/2011) Art. 222 - Em todas as escrituras e em todos os atos relativos a imóveis, bem como nas cartas de sentença e formais de partilha, o tabelião o u escrivão deve fazer referência à matrícula ou ao registro anterior, seu número e cartório. (Renumerado com nova redação pela Lei 6.216/75). Art. 223 - Ficam sujeitas à obrigação, a que alude o artigo anterior, as partes que, por instrumento particular, celebrarem atos relativos a imóveis. (Renumerado do art 223 com nova redação pela Lei 6.216/75). Art. 224 - Nas escrituras, lavradas em decorrência de autorização judicial, serão mencionadas por certidão, em breve relatório com todas as minúcias que permitam identificá-los, os respectivos alvarás. (Renumerado do § 2º do art. 223 com nova redação pela Lei 6.216/75). Art. 225 - Os tabeliães, escrivães e juizes farão com que, nas escrituras e nos autos judiciais, as partes indiquem, com precisão, os característicos, as confrontações e as localizações dos imóveis, mencionando os nomes dos confrontantes e, ainda, quando se tratar só de terreno, se esse fica do lado par ou do lado ímpar do logradouro, em que quadra e a que distância métrica da edificação ou da esquina mais próxima, exigindo dos interessados certidão do registro imobiliário. (Renumerado do art. 228 com nova redação pela Lei 6.216/75). § 1º As mesmas minúcias, com relação à caracterização do imóvel, devem constar dos instrumentos particulares apresentados em cartório para registro. § 2º Consideram-se irregulares, para efeito de matrícula, os títulos nos quais a caracterização do imóvel não coincida com a que consta do registro anterior. § 3º Nos autos judiciais que versem sobre imóveis rurais, a localização, os limites e as confrontações serão obtidos a partir de memorial descritivo assinado por profissional habilitado e com a devida Anotação de Responsabilidade Técnica - ART, contendo as coordenadas dos vértices definidores dos limites dos imóveis rurais, geo-referenciadas ao Sistema Geodésico Brasileiro e com precisão posicional a ser fixada pelo INCRA, garantida a isenção de cu stos financeiros aos proprietários de imóveis rurais cuja somatória da área não exceda a quatro módulos fiscais.(Incluído pela Lei 10.267/2001) Art. 226 - Tratando-se de usucapião, os requisitos da matrícula devem constar do mandado judicial. (Renumerado do art. 229 com nova redação pela Lei 6.216/75). CAPÍTULO VI Da Matrícula Art. 227 - Todo imóvel objeto de título a ser registrado deve estar matriculado no Livro nº 2 - Registro Geral - obedecido o disposto no art. 176. (Renumerado com nova redação pela Lei 6.216/75). Art. 228 - A matrícula será efetuada por ocasião do primeiro registro a ser lançado na vigência desta Lei, mediante os elementos constantes do 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2026-06-17T16:43:37.622Z</dcterms:created>
  <dcterms:modified xsi:type="dcterms:W3CDTF">2026-06-17T16:43:37.622Z</dcterms:modified>
</cp:coreProperties>
</file>

<file path=docProps/custom.xml><?xml version="1.0" encoding="utf-8"?>
<Properties xmlns="http://schemas.openxmlformats.org/officeDocument/2006/custom-properties" xmlns:vt="http://schemas.openxmlformats.org/officeDocument/2006/docPropsVTypes"/>
</file>