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Mazoni Ferreira</w:t>
      </w:r>
    </w:p>
    <w:p/>
    <w:p>
      <w:r>
        <w:t xml:space="preserve">SERASA — PAGAMENTO - NOME - MANUTENÇÃO NO CADASTRO DE INADIMPLENTES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SENHOR JUIZ DE DIREITO DA ... VARA CÍVEL DA COMARCA DE ... ... (qualificação), vem respeitosamente perante Vossa Excelência, por meio de seu procurador, propor AÇÃO DE OBRIGAÇÃO DE FAZER C/C INDENIZAÇÃO POR DANOS IMATERIAIS contra SUPERMERCADOS xxx, pelos fatos e razões que aduz a seguir: DA INJUSTA PERMANÊNCIA NO SERVIÇO DE PROTEÇÃO AO CRÉDITO Em novembro de 2004 a requerente emitiu cheque para pagamento de compras na requerida, sob o n. 000100, que, em função de súbito imprevisto financeiro, não pode ser honrado. Assim que houve melhora na sua situação financeira a requerente prontamente regularizou a situação junto ao credor, em JULHO DE 2006, pagando o cheque diretamente à requerida, retomando a cártula e regularizando a situação perante o CCF (cfe. documento anexo). Ocorre que até a presente data continua a requerente negativada nos órgãos de proteção ao crédito Ora, o Tribunal de Justiça de Santa Catarina tem decidido que "a simples inclusão do nome ou sua permanência indevida no órgão de proteção ao crédito é fato gerador de constrangimentos e transtornos na vida do inscrito, pois, além de ter seu crédito negado, fica impedido de realizar atos comerciais" (Apelação Cível Número: 2002.015437-2 Des. Relator: Des. Mazoni Ferreira. Data da Decisão: 30/05/2005). DAS DISPOSIÇÕES DO CÓDIGO DE DEFESA DO CONSUMIDOR Assim, se aplicam ao presente caso as seguintes disposições do Código de Defesa do Consumidor: Art. 6º - São direitos básicos do consumidor: VI - a efetiva prevenção e reparação de danos patrimoniais e morais, individuais, coletivos e difusos; VII - o acesso aos órgãos judiciários e administrativos com vistas à prevenção ou reparação de danos patrimoniais e morais, individuais, coletivos ou difusos, assegurada a proteção Jurídica, administrativa e técnica aos necessitados; VIII - a facilitação da defesa de seus direitos, inclusive com a inversão do ônus da prova, a seu favor, no processo civil, quando, a crit ério do juiz, for verossímil a alegação ou quando for ele hipossuficiente, segundo as regras ordinárias de experiências; Art. 43 - O consumidor, sem prejuízo do disposto no art. 86, terá acesso às informações existentes em cadastros, fichas, registros e dados pessoais e de consumo arquivados sobre ele, bem como sobre as suas respectivas fontes. § 1º - Os cadastros e dados de consumidores devem ser objetivos, claros, verdadeiros e em linguagem de fácil compreensão, não podendo conter informações negativas referentes a período superior a cinco anos. § 2º - A abertura de cadastro, ficha, registro e dados pessoais e de consumo deverá ser comunicada por escrito ao consumidor, quando não solicitada por ele. § 3º - A inexatidão nos seus dados e cadastros, poderá exigir sua imediata correção, devendo o arquivista, no prazo de cinco dias úteis, comunicar a alteração aos eventuais destinatários das informações incorretas. § 4º - Os bancos de dados e cadastros relativos a consumidores, os serviços de proteção ao crédito e congêneres são considerados entidades de caráter público. Art. 83 - Para a defesa dos direitos e interesses protegidos por este Código são admissíveis todas as espécies de ações capazes de propiciar sua adequada e efetiva tutela. Art. 84 - Na ação que tenha por objeto o cumprimento da obrigação de fazer ou não fazer, o juiz concederá a tutela específica da obrigação ou determinará providências que assegurem o resultado prático equivalente ao do adimplemento. DA INVERSÃO DO ÔNUS DA PROVA Sobre a inversão do ônus da prova, em especial quanto à verossimilhança de que trata o artigo 6º VIII, do CDC, cita-se o festejado Professor RIZZATTO NUNES, da PUC/SP, no mais conceituado livro sobre Direito do Consumidor do país, o seu CURSO DE DIREITO DO CONSUMIDOR (Saraiva, 2004, p. 728): "É necessário que da narrativa decorra verossimilhança tal que naquele momento da leitura se possa aferir, desde logo, forte conteúdo persuasivo. E, já que se trata de medida extrema, deve o juiz aguardar a peça de defesa para verificar o grau de verossimilhança na relação com os elementos trazidos pela contestação. E é essa a teleologia da norma, uma vez que o final da proposição a reforça, ao estabelecer que a base são "as regras ordinária de experiência". Ou, em outros termos terá o magistrado de se servir dos elementos apresentados na composição do que usualmente é aceito como verossímil" . POSSIBILIDADE DE LIMINAR: FUNDAMENTO RELEVANTE E RECEIO DE INEFICÁCIA DO PROVIMENTO FINAL Quanto à possibilidade de medida de ca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2026-10-26T02:45:32.965Z</dcterms:created>
  <dcterms:modified xsi:type="dcterms:W3CDTF">2026-10-26T02:45:32.965Z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