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Mazoni Ferreira</w:t>
      </w:r>
    </w:p>
    <w:p/>
    <w:p>
      <w:r>
        <w:t xml:space="preserve">SERASA — PAGAMENTO - NOME - MANUTENÇÃO NO CADASTRO DE INADIMPLENTES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SENHOR JUIZ DE DIREITO DA ... VARA CÍVEL DA COMARCA DE ... ... (qualificação), vem respeitosamente perante Vossa Excelência, por meio de seu procurador, propor AÇÃO DE OBRIGAÇÃO DE FAZER C/C INDENIZAÇÃO POR DANOS IMATERIAIS contra SUPERMERCADOS xxx, pelos fatos e razões que aduz a seguir: DA INJUSTA PERMANÊNCIA NO SERVIÇO DE PROTEÇÃO AO CRÉDITO Em novembro de 2004 a requerente emitiu cheque para pagamento de compras na requerida, sob o n. 000100, que, em função de súbito imprevisto financeiro, não pode ser honrado. Assim que houve melhora na sua situação financeira a requerente prontamente regularizou a situação junto ao credor, em JULHO DE 2006, pagando o cheque diretamente à requerida, retomando a cártula e regularizando a situação perante o CCF (cfe. documento anexo). Ocorre que até a presente data continua a requerente negativada nos órgãos de proteção ao crédito Ora, o Tribunal de Justiça de Santa Catarina tem decidido que "a simples inclusão do nome ou sua permanência indevida no órgão de proteção ao crédito é fato gerador de constrangimentos e transtornos na vida do inscrito, pois, além de ter seu crédito negado, fica impedido de realizar atos comerciais" (Apelação Cível Número: 2002.015437-2 Des. Relator: Des. Mazoni Ferreira. Data da Decisão: 30/05/2005). DAS DISPOSIÇÕES DO CÓDIGO DE DEFESA DO CONSUMIDOR Assim, se aplicam ao presente caso as seguintes disposições do Código de Defesa do Consumidor: Art. 6º - São direitos básicos do consumidor: VI - a efetiva prevenção e reparação de danos patrimoniais e morais, individuais, coletivos e difusos; VII - o acesso aos órgãos judiciários e administrativos com vistas à prevenção ou reparação de danos patrimoniais e morais, individuais, coletivos ou difusos, assegurada a proteção Jurídica, administrativa e técnica aos necessitados; VIII - a facilitação da defesa de seus direitos, inclusive com a inversão do ônus da prova, a seu favor, no processo civil, quando, a crit ério do juiz, for verossímil a alegação ou quando for ele hipossuficiente, segundo as regras ordinárias de experiências; Art. 43 - O consumidor, sem prejuízo do disposto no art. 86, terá acesso às informações existentes em cadastros, fichas, registros e dados pessoais e de consumo arquivados sobre ele, bem como sobre as suas respectivas fontes. § 1º - Os cadastros e dados de consumidores devem ser objetivos, claros, verdadeiros e em linguagem de fácil compreensão, não podendo conter informações negativas referentes a período superior a cinco anos. § 2º - A abertura de cadastro, ficha, registro e dados pessoais e de consumo deverá ser comunicada por escrito ao consumidor, quando não solicitada por ele. § 3º - A inexatidão nos seus dados e cadastros, poderá exigir sua imediata correção, devendo o arquivista, no prazo de cinco dias úteis, comunicar a alteração aos eventuais destinatários das informações incorretas. § 4º - Os bancos de dados e cadastros relativos a consumidores, os serviços de proteção ao crédito e congêneres são considerados entidades de caráter público. Art. 83 - Para a defesa dos direitos e interesses protegidos por este Código são admissíveis todas as espécies de ações capazes de propiciar sua adequada e efetiva tutela. Art. 84 - Na ação que tenha por objeto o cumprimento da obrigação de fazer ou não fazer, o juiz concederá a tutela específica da obrigação ou determinará providências que assegurem o resultado prático equivalente ao do adimplemento. DA INVERSÃO DO ÔNUS DA PROVA Sobre a inversão do ônus da prova, em especial quanto à verossimilhança de que trata o artigo 6º VIII, do CDC, cita-se o festejado Professor RIZZATTO NUNES, da PUC/SP, no mais conceituado livro sobre Direito do Consumidor do país, o seu CURSO DE DIREITO DO CONSUMIDOR (Saraiva, 2004, p. 728): "É necessário que da narrativa decorra verossimilhança tal que naquele momento da leitura se possa aferir, desde logo, forte conteúdo persuasivo. E, já que se trata de medida extrema, deve o juiz aguardar a peça de defesa para verificar o grau de verossimilhança na relação com os elementos trazidos pela contestação. E é essa a teleologia da norma, uma vez que o final da proposição a reforça, ao estabelecer que a base são "as regras ordinária de experiência". Ou, em outros termos terá o magistrado de se servir dos elementos apresentados na composição do que usualmente é aceito como verossímil" . POSSIBILIDADE DE LIMINAR: FUNDAMENTO RELEVANTE E RECEIO DE INEFICÁCIA DO PROVIMENTO FINAL Quanto à possibilidade de medida de 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2026-07-28T03:20:03.370Z</dcterms:created>
  <dcterms:modified xsi:type="dcterms:W3CDTF">2026-07-28T03:20:03.370Z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