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re 2</w:t>
      </w:r>
    </w:p>
    <w:p/>
    <w:p>
      <w:r>
        <w:t xml:space="preserve">02. LEIS 10.893/2004, 11.434/2006, 11.196/2005, 10.865/2004, 8.685/93, 12.249/10, 11.775/2008, 11.491/2007. MP 2.228-1/2001, ALTERA — REVOGA DISPOSITIVOS DAS LEIS 9.432/97 E 10.925/2004</w:t>
      </w:r>
    </w:p>
    <w:p/>
    <w:p>
      <w:pPr>
        <w:pStyle w:val="Heading2"/>
      </w:pPr>
      <w:r>
        <w:rPr>
          <w:b/>
          <w:bCs/>
        </w:rPr>
        <w:t xml:space="preserve">Ementa</w:t>
      </w:r>
    </w:p>
    <w:p>
      <w:r>
        <w:t xml:space="preserve">Art. 39. ................... ................................ III - as chamadas dos programas e a publicidade de obras cinematográficas e videofonográficas veiculadas nos serviços de radiodifusão de sons e imagens, nos serviços de comunicação eletrônica de massa por assinatura e nos segmentos de mercado de salas de exibição e de vídeo doméstico em qualquer suporte; ................................. XII - as hipóteses previstas pelo inciso III do art. 32, quando ocorrer o fato gerador de que trata o inciso I do mesmo artigo, em relação à mesma obra audiovisual publicitária, para o segmento de mercado de comunicação eletrônica de massa por assinatura. ......................" (NR) "Art. 40. .................. ................................. IV - 10% (dez por cento), quando se tratar de obra publicitária brasileira realizada por microempresa ou empresa de pequeno porte, segundo as definições do art. 3º da Lei Complementar nº 123, de 14 de dezembro de 2006, com custo não superior a R$ 10.000,00 (dez mil reais), conforme regulamento da Ancine." (NR) "Art. 58. .................. Parágrafo único. Constitui embaraço à fiscalização, sujeitando o infrator à pena prevista no caput do art. 60: I - imposição de obstáculos ao livre acesso dos agentes da Ancine às entidades fiscalizadas; e II - o não atendimento da requisição de arquivos ou documentos comprobatórios do cumprimento das cotas legais de exibição e das obrigações tributárias relativas ao recolhimento da Condecine." (NR) "Art. 59. O descumprimento da obrigatoriedade de que trata o art. 55 sujeitará o infrator a multa correspondente a 5% (cinco por cento) da receita bruta média diária de bilheteria do complexo, apurada no ano da infração, multiplicada pelo número de dias do descumprimento. § 1º Se a receita bruta de bilheteria do complexo não puder ser apurada, será aplicado multa no valor de R$ 100,00 (cem reais) por dia de descumprimento multiplicado pelo número de salas do complexo. § 2º A multa prevista neste artigo deverá respeitar o limite máximo estabelecido no caput do art. 60." (NR) Parágrafo único. As tabelas constantes do Anexo I da Medida Provisória nº 2.228-1, de 6 de setembro de 2001, relativas ao inciso II do caput do art. 33, passam a vigorar com as alterações do Anexo desta Lei. Art. 20. O art. 5º da Lei nº 8.685, de 20 de julho de 1993, passa a vigorar com a seguinte redação: "Art. 5º Os valores depositados nas contas de que trata o inciso I do § 1º do art. 4º e não aplicados no prazo de 48 (quarenta e oito) meses da data do primeiro depósito e os valores depositados nas contas de que trata o inciso II do § 1º do art. 4º e não aplicados no prazo de 180 (cento e oitenta) dias, prorrogável por igual período, serão destinados ao Fundo Nacional da Cultura, alocados no Fundo Setorial do Audiovisual." (NR) Art. 21. A Lei nº 12.249, de 11 de junho de 2010, passa a vigorar com a seguinte redação: "Art. 70. É autorizada a concessão de rebate para liquidação, até 29 de março de 2013, das operações de crédito rural que tenham sido renegociadas nas condições do art. 2º da Lei nº 11.322, de 13 de julho de 2006, e que estejam lastreadas em recursos do FNE, ou em recursos mistos do FNE com outras fontes, ou em recursos de outras fontes efetuadas com risco da União, ou ainda das operações realizadas no âmbito do Pronaf, em substituição a todos os bônus de adimplência e de liquidação previstos para essas operações na Lei nº 11.322, de 13 de julho de 2006, e no art. 28 da Lei nº 11.775, de 17 de setembro de 2008, não remitidas na forma do art. 69 desta Lei, observadas ainda as seguintes condições: ................................ § 9º Fica autorizada a suspensão das execuções judiciais e dos respectivos prazos processuais referentes às operações enquadráveis neste artigo até a data limite para concessão de rebate definida no caput, desde que o mutuário formalize interesse em liquidar a operação perante a instituição financeira. § 10. O prazo de prescrição das dívidas de que trata o caput fica suspenso a partir da data de publicação desta Lei até 29 de março de 2013." (NR) "Art. 72. É autorizada a concessão de rebate de 60% (sessenta por cento) sobre o saldo devedor atualizado pelos encargos financeiros contratuais aplicáveis para a situação de normalidade, excluídos os bônus, para a liquidação, até 29 de março de 2013, das operações de crédito rural do Grupo 'B' do Pronaf contratadas entre 2 de janeiro de 2005 e 31 de dezembro de 2006, com recursos do orçamento geral 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2026-06-17T14:18:10.815Z</dcterms:created>
  <dcterms:modified xsi:type="dcterms:W3CDTF">2026-06-17T14:18:10.815Z</dcterms:modified>
</cp:coreProperties>
</file>

<file path=docProps/custom.xml><?xml version="1.0" encoding="utf-8"?>
<Properties xmlns="http://schemas.openxmlformats.org/officeDocument/2006/custom-properties" xmlns:vt="http://schemas.openxmlformats.org/officeDocument/2006/docPropsVTypes"/>
</file>