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OBRIGATÓRIO</w:t>
      </w:r>
    </w:p>
    <w:p>
      <w:r>
        <w:rPr>
          <w:i/>
          <w:iCs/>
          <w:color w:val="666666"/>
        </w:rPr>
        <w:t xml:space="preserve">RESPONSABILIDADE OBJETIVA</w:t>
      </w:r>
    </w:p>
    <w:p/>
    <w:p>
      <w:r>
        <w:rPr>
          <w:b/>
          <w:bCs/>
        </w:rPr>
        <w:t xml:space="preserve">Recurso: </w:t>
      </w:r>
      <w:r>
        <w:t xml:space="preserve">RE 109.233-</w:t>
      </w:r>
    </w:p>
    <w:p>
      <w:r>
        <w:rPr>
          <w:b/>
          <w:bCs/>
        </w:rPr>
        <w:t xml:space="preserve">Tribunal: </w:t>
      </w:r>
      <w:r>
        <w:t xml:space="preserve">STJ</w:t>
      </w:r>
    </w:p>
    <w:p/>
    <w:p>
      <w:r>
        <w:t xml:space="preserve">COBRANÇA INDEVIDA — REPETIÇÃO DE INDÉBITO - DANO MORAL - INDENIZAÇÃO - DANO PRESUMIDO - VALOR REPARATÓRIO - CRITÉRIOS DE FIXAÇÃO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hipótese em discussão, no âmbito do presente recurso especial, apresenta panorama jurídico assim sintetizado: - em 1998, o autor, ora recorrente, teve contra si lavrado auto de infração de trânsito pelo DAER contra o qual apresentou defesa prévia, que foi desconsiderada, tendo-lhe sido aplicada penalidade; - o autor, então, apresentou recurso administrativo junto ao JARI do DAER, o qual, por unanimidade, foi deferido; - diante do deferimento do recurso, por meio de decisão do JARI/DAER, datada de 19 de fevereiro de 1999, o autor regularizou a situação do seu veículo, licenciando o mesmo; - em abril de 2001, o autor recebeu em sua residência a informação de que o recurso administrativo interposto perante a JARI havia sido indeferido, levando-o a tentar, junto ao DAER, o esclarecimento daquele equívoco; - o autor não obteve êxito e foi forçado a efetuar o depósito do valor a título de penalidade pecuniária para poder licenciar novamente o seu veículo, o que o levou a demandar a autarquia em ação por repetição de indébito e indenização por danos materiais e morais; - em juízo singular, a ação foi julgada procedente, sendo a autarquia condenada a restituir em mais cinco vezes o valor da multa a título de indenização por danos morais; - o juízo de segundo grau, ao apreciar as apelações interpostas pela autarquia e pelo autor, firmou entendimento de não caber a indenização por dano moral pleiteada pelo autor em face de não ter sido comprovada a sua ocorrência; dessa forma, a remessa oficial e o apelo do DAER foram providos e julgado prejudicado o do autor que requeria majoração do valor da indenização deferida na sentença. - No recurso especial ora examinado debate-se, portanto, se o dano moral prescinde ou não de comprovação. - Entendo que o prejuízo advindo do dano puramente moral é presumível. Dano moral pode ser dito como aquele que, no sentido lato, perturba o interior, o íntimo do indivíduo, ou, na lição de CARLOS ROBERTO GONÇALVES, "passa no interior da personalidade e existe 'in re ipsa'" ("Responsabilidade Civil", Editora Saraiva, 2002, p. 552). Por isso dispensa qualquer prova em concreto. - Como se trata de algo imaterial ou ideal, a prova do dano moral não pode ser feita através dos mesmos meios utilizados para a comprovação do dano material. Por outras palavras, o dano moral está ínsito na ilicitude do ato praticado, decorre da gravidade do ilícito em si, sendo desnecessária sua efetiva demonstração, ou seja, como já sublinhado: o dano moral existe "in re ipsa". - ANTÔNIO JEOVÁ SANTOS, em obra intitulada "Dano Moral Indenizável", Editora Revista dos Tribunais, comenta que: "O prejuízo moral que alguém diz ter sofrido é provado 'in re ipsa'. Acredita que ele existe porque houve a ocorrência do ato ilícito. Quando a vítima sofre um dano, que pela sua dimensão, é impossível ao homem comum não imaginar que o prejuízo aconteceu. Ninguém, em sã consciência, dirá que a perda do pai ou de um filho, não gera desgosto e mal-estar, tanto físico como espiritual, ou que alguém que teve a perna ou um braç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Como se trata de algo imaterial ou ideal, a prova do dano moral não pode ser feita através dos mesmos meios utilizados para a comprovação do dano material. Por outras palavras, o dano moral está ínsito na ilicitude do ato praticado, decorre da gravidade do ilícito em si, sendo desnecessária sua efetiva demonstração, ou seja, como já sublinhado: o dano moral existe "in re ipsa". - É dever da Administração Pública primar pelo atendimento ágil e eficiente de modo a não deixar prejudicados os interesses da sociedade. Deve ser banida da cultura nacional a idéia de que ser mal atendido faz parte dos aborrecimentos triviais do cidadão comum, principalmente quando tal comportamento provém das entidades administrativas. O cidadão não pode ser compelido a suportar as conseqüências da má organização, abuso e falta de eficiência daqueles que devem, com toda boa vontade, solicitude e cortesia, atender ao público. - Os simples aborrecimentos triviais aos quais o cidadão encontra-se sujeito devem ser considerados como os que não ultrapassem o limite do razoável, tais como: a longa espera em filas para atendimento, a falta de estacionamentos públicos suficientes, engarrafamentos etc. No caso dos autos, o autor foi obrigado, sob pena de não-licenciamento de seu veículo, a pagar multa que já tinha sido reconhecida, há mais de dois anos, como indevida pela própria administração do DAER, tendo sido, inclusive, tratado com grosseria pelos agentes da entidade. - Destarte, cabe a indenização por dano moral. - Atendendo às peculiaridades do caso concreto, e tendo em vista a impossibilidade de quantificação do dano moral, recomendável que a indenização seja fixada de tal forma que, não ultrapassando o princípio da razoabilidade, compense condignamente, os desgastes emocionais advindos ao ofendido. Portanto, fixo o valor da indenização a ser pago por dano moral ao autor, em 10 (dez) vezes o valor da multa.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2026-06-17T14:21:00.691Z</dcterms:created>
  <dcterms:modified xsi:type="dcterms:W3CDTF">2026-06-17T14:21:00.692Z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