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DELGADO</w:t>
      </w:r>
    </w:p>
    <w:p>
      <w:r>
        <w:rPr>
          <w:b/>
          <w:bCs/>
        </w:rPr>
        <w:t xml:space="preserve">Julgado em: </w:t>
      </w:r>
      <w:r>
        <w:t xml:space="preserve">06/02/2006</w:t>
      </w:r>
    </w:p>
    <w:p/>
    <w:p>
      <w:r>
        <w:t xml:space="preserve">EXECUTADO — PROVA DE QUE O IMÓVEL PENHORADO É O ÚNICO DE SUA PROPRIEDADE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nos termos da jurisprudência desta Corte, não é necessária a prova de que o imóvel onde reside o devedor seja o único de sua propriedade, para o reconhecimento da impenhorabilidade do bem de família, com base na Lei 8.009/90. - A propósito: "CIVIL E PROCESSUAL CIVIL. RECURSO ESPECIAL. EMBARGOS DO DEVEDOR. EXECUÇÃO DE INDENIZAÇÃO POR ATO ILÍCITO. PENHORA. BEM DE FAMÍLIA. RESIDÊNCIA DO EXECUTADO. DESNECESSIDADE DE SE PROVAR QUE O IMÓVEL PENHORADO É O ÚNICO DE PROPRIEDADE DO DEVEDOR. PRECEDENTES. 1. Recurso especial interposto contra acórdão segundo o qual: a) de acordo com a exceção prevista no art. 3º, VI, da Lei nº 8.009/90, é possível a penhora sobre bem de família, visto tratar-se de execução de indenização por ato ilícito; b) comprovada a existência de propriedade sobre mais de um imóvel, tem-se por desconfigurada a hipótese de bem familiar. 2. A jurisprudência do Superior Tribunal de Justiça é pacífica no sentido de que: - 'As exceções aos benefícios da Lei 8.009/1990 são as previstas nos seus arts. 3º e 4º, nestes não constando a circunstância de a penhora ter sido efetuada para garantia de dívida originária de ação de indenização por ato ilícito, em razão de violação a normas de trânsito que gerou acidente de veículos' (REsp nº 64342/PR, 4ª Turma, Rel. Min. César Asfor Rocha). - 'A circunstância de o débito originar-se da prática de ilícito civil, absoluto ou relativo, não afasta a impenhorabilidade prevista no artigo 1º da Lei 8.009/90' (REsp nº 90145/PR, 3ª Turma, Rel. Min. Eduardo Ribeiro). 3. Para que seja reconhecida a impenhorabilidade do bem de família (Lei nº 8.009/90), não é necessária a prova de que o imóvel em que reside a família do devedor é o único. Isso não significa, toda via, que os outros imóveis que porventura o devedor possua não possam ser penhorados no processo de execução. 4. 'É possível considerar impenhorável o imóvel que não é o único de propriedade da família, mas que serve de efetiva residência' (REsp nº 650831/RS, 3ª Turma, Relª Minª Nancy Andrighi). 'O imóvel onde reside a família do devedor não é passível de arresto, ainda que existam outros bens imóveis, cuja destinação não ficou afirmada nas instâncias ordinárias, para permitir a aplicação do art. 5º, par. único da Lei 8.009/9.' (REsp nº 121727/RJ, 4ª Turma, Rel. Min. Ruy Rosado de Aguiar). 5. Precedentes das egrégias 1ª, 2ª, 3ª e 4ª Turmas desta Corte Superior. 6. Recurso especial provido." (REsp 790.608/SP, Rel. Ministro JOSÉ DELGADO, PRIMEIRA TURMA, julgado em 7/2/2006, DJ de 27/3/2006, p. 225, REPDJ 11/5/2006, p. 167) - ........................ - Portanto, o v. acórdão recorrido decidiu a questão de forma contrária à farta jurisprudência deste Tribunal, exemplificada pelos precedentes acima mencionados. - Diante do exposto, conheço do recurso especial e dou-lhe provimento para anular o acórdão recorrido e afastar a constrição sobre o bem imóvel objeto deste feito. Ac. de 15-05-2012 DJ de 08-06-2012 (Reg. nº 2007/0223855-2) Arquivo do EMFOR, STJ/N 7569 EMENTÁRIO FORENSE. Junho, 2012. Ano LXIV. Nº 763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seja reconhecida a impenhorabilidade do bem de família, não é necessária a prova de que o imóvel em que reside a família do devedor é o único de sua propriedade.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2026-10-26T02:44:54.680Z</dcterms:created>
  <dcterms:modified xsi:type="dcterms:W3CDTF">2026-10-26T02:44:54.680Z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