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CUMPRIMENTO DE CLÁUSULA CONTRATUAL</w:t>
      </w:r>
    </w:p>
    <w:p/>
    <w:p>
      <w:r>
        <w:rPr>
          <w:b/>
          <w:bCs/>
        </w:rPr>
        <w:t xml:space="preserve">Recurso: </w:t>
      </w:r>
      <w:r>
        <w:t xml:space="preserve">REsp 272.739/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RUY ROSADO DE AGUIAR</w:t>
      </w:r>
    </w:p>
    <w:p>
      <w:r>
        <w:rPr>
          <w:b/>
          <w:bCs/>
        </w:rPr>
        <w:t xml:space="preserve">Julgado em: </w:t>
      </w:r>
      <w:r>
        <w:t xml:space="preserve">28/02/2001</w:t>
      </w:r>
    </w:p>
    <w:p/>
    <w:p>
      <w:r>
        <w:t xml:space="preserve">DESCABIMENTO — TEORIA DO ADIMPLEMENTO SUBSTANCIAL - APLICAÇÃO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irresignação não colhe êxito. - Diante da crescente publicização do direito privado, o contrato deixou de ser a máxima expressão da autonomia da vontade para se tornar prática social de especial importância, prática essa que o Estado não pode simplesmente relegar à esfera das deliber ações particulares. Instituto nascido no âmbito do Direito Privado, o contrato passou a ter colorido publicístico, exigindo do julgador a aplicação, no caso concreto, das chamadas cláusulas abertas, dentre as quais se destacam a boa-fé-objetiva e a função social. Vale dizer, não se pode mais conceber o contrato unicamente como meio de circulação de riquezas. Além disso - e principalmente -, é forma de adequação e realização social da pessoa humana e meio de acesso a bens e serviços que lhe dão dignidade. - Sobre as cláusulas gerais - marca identificadora do Código Civil de 2002 -, NELSON NERY JÚNIOR e ROSA MARIA DE ANDRADE NERY destacam que: "A cláusula geral da função social do contrato é decorrência lógica do princípio constitucional dos valores da solidariedade e da construção de uma sociedade mais justa. (...) As várias vertentes constitucionais estão interligadas, de modo que não se pode conceber o contrato apenas do ponto de vista econômico, olvidando-se de sua função social. A cláusula geral da função social do contrato tem magnitude constitucional e não apenas civilista" (Código Civil Comentado, p. 447, 5ª edição. Ed. Revistas dos Tribunais) - Com efeito, é pela lente das cláusulas gerais previstas no Código, sobretudo a da boa-fé objetiva e da função social, que deve ser lido o art. 475, segundo o qual "[a] parte lesada pelo inadimplemento pode pedir a resolução do contrato, se não preferir exigir-lhe o cumprimento, cabendo, em qualquer dos casos, indenização por perdas e danos". - Nesse passo, a faculdade que o credor tem de simplesmente resolver o contrato, diante do inadimplemento do devedor, deve ser reconhecida com cautela, sobretudo quando evidente o desequilíbrio financeiro entre as partes contratantes, como no caso dos autos. Deve o julgador ponderar quão grave foi o inadimplemento a ponto de justificar a resolução da avença. - Como bem assevera ATHOS GUSMÃO CARNEIRO, em um sistema de resolução j udiciária dos contratos, a apreciação valorativa do inadimplemento contratual é alicerçada na análise global do contrato inexecutado, inclusive de sua natureza, e na consideração do comportamento total dos contraentes, desde o início da avença. Assim, ante eventual adimplemento limitado ou inexato, a decisão judicial, ou pela resolução da avença ou pela simples condenação em perdas e danos, dependerá de uma avaliação da "repercussão do incumprimento no equilíbrio sinalagmático do contrato" (Inadimplemento Contratual Grave - Discricionariedade do Juiz. In. Revista de Processo. Ano 20. Abril-Junho de 1.995, n. 78). - Vale dizer que, para a resolução do contrato pela via judicial, há de se considerar não só a inadimplência em si, mas também o adimplemento da avença durante a normalidade contratual. - A partir desse cotejo entre adimplemento e inadimplemento é que deve o juiz aferir a legitimidade da resolução do contrato, de modo a realizar, por outro lado, os princípios da função social e da boa-fé objetiva. - Assim, a insuficiência obrigacional poderá ser relativizada com vistas à preservação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É pela lente das cláusulas gerais previstas no Código Civil de 2002, sobretudo a da boa-fé objetiva e da função social, que deve ser lido o art. 475, segundo o qual "[a] parte lesada pelo inadimplemento pode pedir a resolução do contrato, se não preferir exigir-lhe o cumprimento, cabendo, em qualquer dos casos, indenização por perdas e danos". - Nessa linha de entendimento, a teoria do substancial adimplemento visa a impedir o uso desequilibrado do direito de resolução por parte do credor, preterindo desfazimentos desnecessários em prol da preservação da avença, com vistas à realização dos princípios da boa-fé e da função social do contrato. - No caso em apreço, é de se aplicar a da teoria do adimplemento substancial dos contratos, porquanto o réu pagou: "31 das 36 prestações contratadas, 86% da obrigação total (contraprestação e VRG parcelado) e mais R$ 10.500,44 de valor residual garantido". O mencionado descumprimento contratual é inapto a ensejar a reintegração de posse pretendida e, consequentemente, a resolução do contrato de arrendamento mercantil, medidas desproporcionais diante do substancial adimplemento da avença. - Não se está a afirmar que a dívida não paga desaparece, o que seria um convite a toda sorte de fraudes. Apenas se afirma que o meio de realização do crédito por que optou a instituição financeira não se mostra consentâneo com a extensão do inadimplemento e, de resto, com os ventos do Código Civil de 2002. Pode, certamente, o credor valer-se de meios menos gravosos e proporcionalmente mais adequados à persecução do crédito remanescente, como, por exemplo, a execução do título.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2026-07-28T03:56:08.223Z</dcterms:created>
  <dcterms:modified xsi:type="dcterms:W3CDTF">2026-07-28T03:56:08.223Z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