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REsp 272739/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>
      <w:r>
        <w:rPr>
          <w:b/>
          <w:bCs/>
        </w:rPr>
        <w:t xml:space="preserve">Julgado em: </w:t>
      </w:r>
      <w:r>
        <w:t xml:space="preserve">28/02/2001</w:t>
      </w:r>
    </w:p>
    <w:p/>
    <w:p>
      <w:r>
        <w:t xml:space="preserve">DESCABIMENTO — TEORIA DO ADIMPLEMENTO SUBSTANCIAL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polêmica situa-se em torno do reconhecimento pelo tribunal de origem da ocorrência da exceção de inadimplemento contratual (art. 476 do CC) e o acolhimento da teoria do adimplemento substancial, julgando improcedente a ação de reintegração de posse de 135 carretas. - A alegação central da empresa recorrente é de que não há elementos de prova que comprovem a ocorrência da aludida exceção do contrato não cumprido e que o fato de faltar um quinto do valor avençado a ser quitado não justifica o inadimplemento da outra contratante. - Os próprios argumentos aduzidos pela recorrente já denotam que o seu acolhimento exigiria o revolvimento de matéria fática e do próprio conteúdo do contrato celebrado entre as partes, encontrando óbice nas Súmulas 05 e 07 do STJ. - Efetivamente, no caso, o contrato relativo ao arrendamento mercantil de 135 carretas foi pactuado para pagamento em 36 parcelas mensais, tendo ocorrido o pagamento pela empresa recorrida de trinta (30) parcelas e restando inadimplidas seis (06) parcelas. - A alegação da empresa recorrida para o não pagamento dessas seis parcelas restantes foi o cumprimento imperfeito do contrato celebrado pela outra contratante, invocando a exceção de contrato não cumprido ("exceptio non adimpleti contractus"), prevista no art. 476 do Código Civil. - Naturalmente, a verificação da correta aplicação da exceção de contrato não cumprido ("exceptio non adimpleti contractus") pela corte de origem exigiria o revolvimento do conteúdo do contrato e da matéria de fato, o que é vedado a esta Corte pelos óbices das Súmulas 05 e 07 do STJ. - De outro lado, o instituto do adimplemento su bstancial, que tem sido acolhido por esta Corte, em algumas oportunidades, merece uma análise especial. - O adimplemento substancial, conforme lição de CLÓVIS COUTO E SILVA, "constitui um adimplemento tão próximo ao resultado final, que, tendo-se em vista a conduta das partes, exclui-se o direito de resolução, permitindo-se tão somente o pedido de indenização e/ou adimplemento, de vez que a primeira pretensão viria a ferir o princípio da boa-fé (objetiva)" (O Princípio da Boa-Fé no Direito Brasileiro e Português in Estudos de Direito Civil Brasileiro e Português. São Paulo: Editora Revista dos Tribunais, 1980, p. 56). - A origem é o Direito Inglês, quando as Cortes da Equity, a partir do Século XVIII, desenvolveram o instituto da "substancial performance" para superar os exageros do formalismo exacerbado na execução dos contratos em geral (BECKER, Anelise. A doutrina do adimplemento substancial no Direito brasileiro e em perspectiva comparativista. Revista da Faculdade de Direito da Universidade Federal do Rio Grande do Sul, volume 9, nº 1, nov. 1993, p. 60-77). - O instituto foi posteriormente recepcionado pelos ordenamentos jurídicos dos países continentais da Eurora, com destaque para o Código Civil italiano (art. 1455) e para o Código Civil português (art. 802, nº 2). - No Direito brasileiro, ainda na vigência do Código Civil de 1916, a doutrina e a jurisprudência passaram a desenvolver o instituto a partir de uma interpretação sistemática das regras do parágrafo único do art. 1092 (resolução dos contratos) e do art. 955 (mora) à luz do princípio da boa-fé objetiva. - A partir da vigência do Código Civil de 2002, o reconhecimento do adimplemento substancial em nosso sistema jurídico foi facilitada. - Como o instituto que tem sua matriz na boa-fé objetiva, esse princípio encontra-se atualmente positivado Código Civil de 2002, especialmente nos enunciados de seus artigos 422 e 187. - A boa-fé objetiva constitui um modelo de conduta social ou um padrão ético de comportamento, que impõe, concretamente, a todo o cidadão que, na sua vida de relação, atue com honestidade, lealdade e probidade. - Não se confunde com a boa-fé subjetiva (guten Glauben), que é o estado de consciência ou a crença do sujeito de estar agindo em conformidade com as normas do ordenamento jurídico (v.g. posse de boa-fé, adquirente de boa-fé, cônjuge de boa-fé no casamento nulo). - O princípio da boa-fé objetiva (Treu und Glauben) foi consagrado pelo § 242 do BGB, estabelecendo simplesmente o seguinte: § 242 - O devedor deve cumprir a prestação tal como exige a boa-fé e os costumes do tráfego social. - A partir, especialmente, dessa cláusula geral de boa-fé, a doutrina alemã desenvolveu o princípio no âmbito do sistema de direito privado. - No plano do Direito das Obrigações, a boa-fé objetiva (Treu und Glauben) apresenta-se, especia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cumprimento do contrato de financiamento, com a falta de pagamento de 6 parcelas das 36 parcelas mensais pactuadas, não autoriza o credor a lançar mão da ação de busca e apreensão, em lugar da cobrança da parcela faltante.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2026-07-27T23:47:05.583Z</dcterms:created>
  <dcterms:modified xsi:type="dcterms:W3CDTF">2026-07-27T23:47:05.583Z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