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REsp 814060/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14/05/2012</w:t>
      </w:r>
    </w:p>
    <w:p/>
    <w:p>
      <w:r>
        <w:t xml:space="preserve">SEGURADO VÍTIMA DE CRIME DE EXTORSÃO — CÓDIGO PENAL, ART. 158 - DEVER DE COBERTURA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despeito de o magistrado de primeiro grau adotar uma interpretação extremamente restritiva, no sentido de que o fato que vitimou o segurado e acarretou-lhe prejuízos financeiros (crime de extorsão) não se equiparava aos casos de colisão, incêndio, furto e roubo, e, assim, estaria fora do quadro de riscos previstos no pacto, o Tribunal de Justiça de São Paulo, ao analisar o recurso de apelação interposto pela parte autora, deu-lhe provimento para reformar a sentença e condenar a ré (recorrente) ao pagamento da respectiva indenização, além de inverter o ônus de sucumbência. - Vej a-se a interpretação dada pela corte local quanto ao fato gerador da indenização: "Conforme se depreende dos autos, o apelante foi coagido, mediante grave ameaça, a entregar a terceiro seu veículo, bem como a documentação atinente ao mesmo, como fazem prova os documentos de fls., restando configurado o crime de extorsão" (e-STJ fls.) - E ao cotejar essas balizas fáticas com as disposições contratuais entabuladas entre a recorrente (seguradora) e o recorrido (segurado), assim se pronunciou o Tribunal paulista: "Com efeito, o crime de extorsão está previsto no mesmo capítulo do Código Penal no qual encontra-se tipificado o crime de roubo, fato este que demonstra a grande semelhança existente entre essas condutas delitivas. [...] Ora, ao contratar com a apelada [seguradora], o apelante visou à preservação do seu patrimônio. Logo, a partir do momento em que seu veículo foi-lhe subtraído, independentemente de qual seja o motivo distinto de sua vontade, nasceu seu direito a ser indenizado." (e-SAJ fls.). - E essa premissa interpretativa assentada no acórdão objetado, que aproximou conceitos próprios de Direito Penal (equiparação de extorsão com roubo), está em absoluta consonância com o regime jurídico reservado aos institutos de Direito Civil, que devem observar seu regramento hermenêutico respectivo. - Desse modo, em que pese ser de rigor a interpretação restritiva em matéria de direito penal, especialmente ao se aferir o espectro de abrangência de determinado tipo incriminador, isso por força do princípio da tipicidade fechada ou estrita legalidade (CFRB/88, art. 5º, XXXIX; e, CP, art. 1º), tal viés é reservado à seara punitivo-preventiva (geral e especial) inerente ao Direito Penal, cabendo ao aplicador do Direito Civil emprestar aos institutos de direito privado o efeito jurídico próprio, especialmente à luz dos princípios da boa-fé objetiva e da conservação dos contratos, conforme alhures anotado. - A propósito do tema em referência, é oportuno salientar que, guardadas as devidas proporções, é esta a inteligência do art. 109 do CTN, o qual preconiza que a busca da definição de conteúdo ou alcance dos institutos de direito civil submete-se às regras que lhe são peculiares ("Art. 109. Os princípios gerais de direito privado utilizam-se para pesquisa da definição do conteúdo e do alcance de seus institutos, conceitos e formas [...]"). - Na verdade, o que houve foi uma interpretação elástica por parte do Tribunal de Justiça de São Paulo, e isso é inquestionável. Contudo, essa leitura mais abrangente efetuada pela Corte a quo não se operou em relação à cláusula contratual que continha a predeterminação dos riscos segurados, mas sim no tocante ao alcance dos institutos jurídicos a que se reportou a seguradora ao prescrever quais os infortúnios acobertados pelo dever de indenizar. - Importante registar não se desconhecer, que dentre os fatores sopesados pelas seguradoras para fins de estabelecimento do valor do prêmio e da indenização securitária, é imperativa a delimitação do interesse legítimo a ser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 aleatoriedade constitua característica elementar do contrato de seguro, é mister a previsão de quais os interesses sujeitos a eventos confiados ao acaso estão protegidos, cujo implemento, uma vez verificado, impõe o dever de cobertura pela seguradora. Daí a imprescindibilidade de se ter muito bem definidas as balizas contratuais, cuja formação, segundo o art. 765 do Código Civil, deve observar o princípio da "estrita boa-fé" e da "veracidade", seja na conclusão ou na execução do contrato, bem assim quanto ao "objeto" e as "circunstâncias e declarações a ele concernentes". - As cláusulas contratuais, uma vez delimitadas, não escapam da interpretação daquele que ocupa a outra extremidade da relação jurídica, a saber, o consumidor, especialmente em face de manifestações volitivas materializadas em disposições dúbias, lacunosas, omissas ou que comportem vários sentidos. - A mera remissão a conceitos e artigos do Código Penal contida em cláusula de contrato de seguro não se compatibiliza com a exigência do art. 54, § 4º, do CDC, uma vez que materializa informação insuficiente, que escapa à compreensão do homem médio, incapaz de distinguir entre o crime de roubo e o delito de extorsão, dada sua aproximação topográfica, conceitual e da forma probatória. Dever de cobertura caracterizado.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2026-09-10T22:41:23.432Z</dcterms:created>
  <dcterms:modified xsi:type="dcterms:W3CDTF">2026-09-10T22:41:23.432Z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