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LUIS FELIPE SALOMÃO</w:t>
      </w:r>
    </w:p>
    <w:p>
      <w:r>
        <w:rPr>
          <w:b/>
          <w:bCs/>
        </w:rPr>
        <w:t xml:space="preserve">Julgado em: </w:t>
      </w:r>
      <w:r>
        <w:t xml:space="preserve">06/04/2011</w:t>
      </w:r>
    </w:p>
    <w:p/>
    <w:p>
      <w:r>
        <w:t xml:space="preserve">CHEQUE SUSTADO — BANCO QUE DEVOLVE AO DEVEDOR E NÃO AO CREDOR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 - ..., a instituição financeira devolveu cheques sustados ao devedor (Estado da Paraíba), ao invés de fazê-lo ao credor, a impedir o exercício de direitos cambiários inerentes ao título, de modo que cometeu ato ilícito e deve indenizar o credor pelos dano moral experimentado. - Quanto ao valor da condenação (R$ 10.000,00), é importante notar que o recorrente foi revel, o que faz presumir verdadeiros os fatos narrados pelo autor, notadamente o de que a conduta do recorrente acarretara prejuízos de natureza moral, consistente no abalo de crédito frente a fornecedores e de credibilidade junto aos próprios associados. - Assim, levando-se em consideração a moldura fática traçada soberanamente pelas instâncias ordinárias, afigura-se-me razoável o montante a que chegou a sentença para a indenização a título de danos morais, valores esses que não ultrapassam o que normalmente se pratica no âmbito deste Tribunal. - Cotidianamente, esta Corte tem mantido em até cinquenta salários mínimos indenizações por dano moral decorrente de inscrição indevida em cadastros de proteção ao crédito (AgRg no Ag 1383254/SC, Rel. Ministro LUIS FELIPE SALOMÃO, QUARTA TURMA, julgado em 07/04/2011, DJe 12/04/2011; AgRg no Ag 1308424/SP, Rel. Ministro JOÃO OTÁVIO DE NORONHA, QUARTA TURMA, julgado em 17/03/2011, DJe 25/03/2011). - "Mutatis mutandis", porque em ambas as hipóteses, em última análise, irroga-se indevidamente ao autor a pecha de mau pagador, o critério pode ser utilizado no caso em apreço. - Diante do exposto, conheço parcialment e do recurso e lhe nego provimento. - É como voto. Ac. de 10-05-2011 DJ de 20-05-2011 (Reg. nº 2006/0234267-8) Arquivo do EMFOR, STJ/N 7643 EMENTÁRIO FORENSE. Fevereiro, 2013. Ano LXV. Nº 771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entregar os cheques sustados ao devedor, ao invés de fazê-lo ao credor, a impedir o exercício de direitos cambiários inerentes aos títulos, o Banco cometeu ato ilícito e deve indenizar o credor pelo dano moral experimentado, fixado em valor consentâneo com as circunstâncias do caso concreto (R$10.000,00).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2026-07-28T00:17:49.480Z</dcterms:created>
  <dcterms:modified xsi:type="dcterms:W3CDTF">2026-07-28T00:17:49.480Z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