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ALDIR PASSARINHO JÚNIOR</w:t>
      </w:r>
    </w:p>
    <w:p>
      <w:r>
        <w:rPr>
          <w:b/>
          <w:bCs/>
        </w:rPr>
        <w:t xml:space="preserve">Julgado em: </w:t>
      </w:r>
      <w:r>
        <w:t xml:space="preserve">25/04/2005</w:t>
      </w:r>
    </w:p>
    <w:p/>
    <w:p>
      <w:r>
        <w:t xml:space="preserve">SE SE APLICA A REGULAÇÃO DE CONTRATO DE SERVIÇOS ADVOCATÍCIOS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enfatizou o fato de o Acórdão ora recorrido haver sustentado a incidência do Código de Defesa do Consumidor no tocante à prestação profissional advocatícia - o que é verdade, mas, como se verá, não leva, no caso, ao provimento do Recurso Especial. - Com efeito, no sentido da inaplicabilidade do Código de Defesa do Consumidor à espécie, realmente, são vários julgados deste Tribunal. Vejam-se, entre outros julgados: "CIVIL E PROCESSUAL CIVIL. CONTRATO DE PRESTAÇÃO DE SERVIÇOS ADVOCATÍCIOS. FORO DE ELEIÇÃO. POSSIBILIDADE. PRECEDENTES. EXCEÇÃO DE COMPETÊNCIA. EFEITO SUSPENSIVO. DECISÃO DEFINITIVA DO TRIBUNAL DE ORIGEM. PRECEDENTES. RECURSO ESPECIAL NÃO CONHECIDO. 1 - As relações contratuais entre clientes e advogados são regidas pelo Estatuto da OAB, aprovado pela Lei n. 8.906/94, a elas não se aplicando o Código de Defesa do Consumidor. Precedentes. (REsp. 539077/MS, Rel. Ministro ALDIR PASSARINHO JÚNIOR, QUARTA TURMA, julgado em 26/04/2005, DJ 30/05/2005 p. 383; REsp 914105/GO, Rel. Ministro FERNANDO GONÇALVES, QUARTA TURMA, julgado em 09/09/2008, DJe 22/09/2008). (...) (REsp 1.134.889/PE, Relator Ministro HONILDO AMARAL DE MELLO CASTRO (DESEMBARGADOR CONVOCADO DO TJ/AP), QUARTA TURMA, DJe 8/4/2010) - No mesmo sentido: REsp 1.123.422/PR, Rel. Ministro JOÃO OTÁVIO DE NORONHA, QUARTA TURMA, DJe 15/08/2011; REsp 1.155.200/DF, Rel. Ministro MASSAMI UYEDA, Relª. p/ Acórdão Ministra NANCY ANDRIGHI, TERCEIRA TURMA, DJe 02/03/2011. - No entanto, o Acórdão, embora em uma primeira parte afirmando a aplicabilidade do Código de Defesa do Consumidor à atividade profissional do Advogado, passa, depois, a firmar-se em fundamentos do Direito Civil Comum, analisando as disposições do Código Civi l e do Estatuto e Código de Ética Profissional da Advocacia, com expressa menção aos dispositivos legais desses diplomas, para concluir pela responsabilidade do Advogado, no caso, à luz da lei comum - sem necessidade de socorro ao Código de Defesa do Consumidor, tanto que o Acórdão expressamente afastou a inversão do ônus da prova, específica do Código de Defesa do Consumidor, para entender provado o dano moral à luz da lei comum. - Como se vê, o Acórdão soma dois fundamentos - um de direito do consumidor e outro de direito comum e este último é mais que suficiente para a conclusão da procedência da ação a que chegou o Acórdão. - Este Tribunal, por outro lado, relembre-se, já julgou inúmeras vezes que se um fundamento do julgado é suficiente para mantê-lo, não há que se perquirir de outro, de modo que, firme a responsabilidade pela lei comum e pelo Estatuto e Código de Ética da Advocacia, seria írrito e, mesmo, absurdo, inverter o resultado da ação (a que chegaram os Juízos de ambos os graus de jurisdição na origem), por ser inaplicável a norma consumerista, que protegeria mais o autor, mas que não incidiu no caso, até porque garantido seu direito pela lei comum. Ac. de 15-03-2012 DJ de 10-04-2012 (Reg. nº 2010/0209410-5) Arquivo do EMFOR, STJ/N 7646 EMENTÁRIO FORENSE. Fevereiro, 2013. Ano LXV. Nº 771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relações contratuais entre clientes e advogados são regidas pelo Estatuto da OAB, aprovado pela Lei nº 8.906/94, a elas não se aplicando o Código de Defesa do Consumidor.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2026-10-26T04:19:26.798Z</dcterms:created>
  <dcterms:modified xsi:type="dcterms:W3CDTF">2026-10-26T04:19:26.798Z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