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re -</w:t>
      </w:r>
    </w:p>
    <w:p>
      <w:r>
        <w:rPr>
          <w:b/>
          <w:bCs/>
        </w:rPr>
        <w:t xml:space="preserve">Tribunal: </w:t>
      </w:r>
      <w:r>
        <w:t xml:space="preserve">STJ</w:t>
      </w:r>
    </w:p>
    <w:p/>
    <w:p>
      <w:r>
        <w:t xml:space="preserve">01. ENUNCIADOS APROVADOS NA VI JORNADA DE DIREITO CIVIL — PARTE GERAL</w:t>
      </w:r>
    </w:p>
    <w:p/>
    <w:p>
      <w:pPr>
        <w:pStyle w:val="Heading2"/>
      </w:pPr>
      <w:r>
        <w:rPr>
          <w:b/>
          <w:bCs/>
        </w:rPr>
        <w:t xml:space="preserve">Ementa</w:t>
      </w:r>
    </w:p>
    <w:p>
      <w:r>
        <w:t xml:space="preserve">ENUNCIADOS APROVADOS NA VI JORNADA DE DIREITO CIVIL PARTE GERAL COORDENADOR: ROGÉRIO MENESES FIALHO MOREIRA ENUNCIADO 530 - A emancipação, por si só, não elide a incidência do Estatuto da Criança e do Adolescente. Artigo: 5º, parágrafo único, do Código Civil Justificativa: A emancipação, em que pese assegurar a possibilida de de realizar pessoalmente os atos da vida civil por aqueles que não alcançaram a maioridade civil, não tem o condão, isoladamente considerada, de afastar as normas especiais de caráter protetivo, notadamente o Estatuto da Criança e do Adolescente. O Estatuto da Criança e do Adolescente insere-se em um contexto personalista, garantindo tutela jurídica diferenciada em razão da vulnerabilidade decorrente do grau de discernimento incompleto. Assim, a antecipação da a quisição da capacidade de fato pelo adolescente não significa que ele tenha alcançado necessariamente o desenvolvimento para afastar as regras especiais. ENUNCIADO 531 - A tutela da dignidade da pessoa humana na sociedade da informação inclui o direito ao esquecimento. Artigo: 11 do Código Civil Justificativa: Os danos provocados pelas novas tecnologias de informação vêm-se acumulando nos dias atuais. O direito ao esquecimento tem sua origem histórica no campo das condenações criminais. Surge como parcela importante do direito do ex-detento à ressocialização. Não atribui a ninguém o direito de apagar fatos ou reescrever a própria história, mas apenas assegura a possibilidade de discutir o uso que é dado aos fatos pretéritos, mais especificamente o modo e a finalidade com que são lembrados. ENUNCIADO 532 - É permitida a disposição gratuita do próprio corpo com objetivos exclusivamente científicos, nos termos dos arts. 11 e 13 do Código Civil. Artigos: 11 e 13 do Código Civil Justificativa: Pesquisas com seres humanos vivos são realizadas todos os dias, sem as quais não seria pos sível o desenvolvimento da medicina e de áreas afins. A Resolução CNS n. 196/96, em harmonia com o Código de Nuremberg e com a Declaração de Helsinque, dispõe que pesquisas envolvendo seres humanos no Brasil somente podem ser realizadas mediante aprovação prévia de um Comitê de Ética em Pesquisa - CEP, de composição multiprofissional, e com a assinatura do Termo de Consentimento Livre e Esclarecido - TCLE pelo participante da pesquisa, no qual devem constar informações claras e relevantes acerca do objeto da pesquisa, seus benefícios e riscos, a gratuidade pela participação, a garantia de reparação dos dano s causados na sua execução e a faculdade de retirada imotivada do consentimento a qualquer tempo sem prejuízo para sua pessoa. ENUNCIADO 533 - O paciente plenamente capaz poderá deliberar sobre todos os aspectos concernentes a tratamento médico que possa lhe causar risco de vida, seja imediato ou mediato, salvo as situações de emergência ou no curso de procedimentos médicos cirúrgicos que não possam ser interrompidos. Artigo: 15 do Código Civil Justificativa:O crescente reconhecimento da autonomia da vontade e da autodeterminação dos pacientes nos processos de tomada de decisão sobre questões envolvidas em seus tratamentos de saúde é uma das marcas do final do século XX. Essas mudanças vêm-se consolidando até os dias de hoje. Inúmeras manifestações nesse sentido podem ser identificadas, por exemplo, a modificação do Código de Ética Médica e a aprovação da resolução do Conselho Federal de Medicina sobre diretivas antecipadas de vontade. O reconhecimento da autonomia do paciente repercute social e juridicamente nas relações entre médico e paciente, médico e família do paciente e médico e equipe assistencial. O art. 15 deve ser interpretado na perspectiva do e xercício pleno dos direitos da personalidade, especificamente no exercício da autonomia da vontade. O "risco de vida" será inerente a qualquer tratamento médico , em maior ou menor grau de frequência. Por essa razão, não deve ser o elemento complementar do suporte fático para a interpretação do referido artigo. Outro ponto relativo indiretamente à interpretação do art. 15 é a verificação de como o processo de consentimento informado deve ser promovido para adequada informação do paciente. O processo de consentimento pressupõe o compartilhamento efetivo de informações e a corresponsabilidade na tomada de decisão. ENUNCIADO 534 - As associações podem desenvolver atividade econômica, desde que não haja finalidade lucrativa. Artigo: 53 do Código Civil Justificativa: Andou mal o legislador ao redigir o caput 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2026-07-28T04:13:04.383Z</dcterms:created>
  <dcterms:modified xsi:type="dcterms:W3CDTF">2026-07-28T04:13:04.383Z</dcterms:modified>
</cp:coreProperties>
</file>

<file path=docProps/custom.xml><?xml version="1.0" encoding="utf-8"?>
<Properties xmlns="http://schemas.openxmlformats.org/officeDocument/2006/custom-properties" xmlns:vt="http://schemas.openxmlformats.org/officeDocument/2006/docPropsVTypes"/>
</file>