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REsp 1.175.675/</w:t>
      </w:r>
    </w:p>
    <w:p>
      <w:r>
        <w:rPr>
          <w:b/>
          <w:bCs/>
        </w:rPr>
        <w:t xml:space="preserve">Tribunal: </w:t>
      </w:r>
      <w:r>
        <w:t xml:space="preserve">STJ</w:t>
      </w:r>
    </w:p>
    <w:p>
      <w:r>
        <w:rPr>
          <w:b/>
          <w:bCs/>
        </w:rPr>
        <w:t xml:space="preserve">Julgado em: </w:t>
      </w:r>
      <w:r>
        <w:t xml:space="preserve">08/08/2011</w:t>
      </w:r>
    </w:p>
    <w:p/>
    <w:p>
      <w:r>
        <w:t xml:space="preserve">03. ENUNCIADOS APROVADOS NA VI JORNADA DE DIREITO CIVIL — RESPONSABILIDADE CIVIL</w:t>
      </w:r>
    </w:p>
    <w:p/>
    <w:p>
      <w:pPr>
        <w:pStyle w:val="Heading2"/>
      </w:pPr>
      <w:r>
        <w:rPr>
          <w:b/>
          <w:bCs/>
        </w:rPr>
        <w:t xml:space="preserve">Ementa</w:t>
      </w:r>
    </w:p>
    <w:p>
      <w:r>
        <w:t xml:space="preserve">RESPONSABILIDADE CIVIL COORDENADOR: PAULO DE TARSO SANSEVERINO ENUNCIADO 550 - A quantificação da reparação por danos extrapatrimoniais não deve estar sujeita a tabelamento ou a valores fixos. Artigos: 186 e 944 do Código Civil Justificativa: "Cada caso é um caso". Essa frase, comumente aplicada na medicina para explicar que o que está descrito nos livros pode diferir da aplicação prática, deve ser trazida para o âmbito jurídico, no tocante aos danos morais. Há três anos, o STJ buscou parâmetros para uniformizar os valores dos danos morais com base em jurisprudências e fixou alguns valores, por exemplo, para os casos de morte de filho no parto (250 salários) e paraplegia (600 salários). Da análise desse fato, devemos lembrar que a linha entre a indenização ínfima e o enriquecimento sem causa é muito tênue; entretanto, a análise do caso concreto deve ser sempre priorizada. Caso contrário, corremos o risco de voltar ao tempo da Lei das XII Tábuas, em que um osso quebrado tinha um valor e a violência moral, outro. Quando um julgador posiciona-se acerca de um dano moral, deve atentar para alguns pontos, entre os quais a gravidade do fato, a extensão do dano, a posição social e profissional do ofendido, a condição financeira do agressor e do agredido, baseando-se nos princípios da razoabilidade, equida de e proporcionalidade, além da teoria do desestímulo. Dessa forma, a chance de resultados finais serem idênticos é praticamente nula. O juiz não pode eximir-se do seu dever de analisar, calcular e arbitrara indenização dentro daquilo que é pretendido entre as partes. Assim, considerando o que temos exposto, conclui-se que não deve existir limitação prévia de valores, sob o risco de fomentarmos a diabólica indústria do dano moral. ENUNCIADO 551 - Nas violações aos direitos relativos a marcas, patentes e desenhos industriais, será assegurada a reparação civil ao seu titular, incluídos tanto os danos patrimoniais como os danos extrapatrimoniais. Artigos: 186, 884, 927 e 944 do Código Civil Justificativa: A relevância da temática está, inicialmente, no fato de existir ainda hoje discussão doutrinária a respeito da natureza jurídica dos direitos da propriedade industrial. Além disso, uma vez verificada a infração ao direito da propriedade, é fundamental que se estabeleça a devida reparação pelos danos causados ao seu detentor, mormente porque essa espécie de lesão se reflete seja na esfera patrimonial, com a redução nas vendas de um produto ou serviço, seja na esfera moral, com prejuízos para a imagem do produto ou serviço através de mácula a sua reputação, de associação com outro de qualidade inferior ou cujo conceito é moralmente reprovável pela sociedade, de ofuscamento da sua distintividade e/ou de adulteração do seu conceito (teoria da diluição). Por fim, é evidente o enriquecimento ilícito daquele que se aproveita do direito de propriedade alheio sem mencionar as perdas impostas à sociedade pelo atraso no desenvolvimento de tecnologias, do desestímulo ao processo criativo e da limitação na oferta de produtos e serviços, em flagrante afronta ao que estabelece o princípio da função social da propriedade. ENUNCIADO 552 - Constituem danos reflexos reparáveis as despesas suportadas pela operadora de plano de saúde decorrentes de complicações de procedimentos por ela não cobertos. Artigo: 786, caput, do Código Civil Justificativa: A proposta de enunciado parte da mesma ideia do previsto no caput do art. 786 do Código Civil para as seguradoras, questão pacífica em nosso ordenamento. A Súmula n. 10 da Agência Nacional de Saúde impõe que as operadoras de planos de saúde arquem com as despesas médicas oriundas de complicações de procedimentos não cobertos, em virtude do princípio da preservação da vida, órgão ou função do paciente. Ocorre que muitas dessas complicações surgem em virtude de vícios nos materiais utilizados no p rocedimento, por erro médico ou por condições inadequadas das clínicas e dos hospitais, tais como infecção hospit alar ou falta de equipamentos. Considerando que o art. 35-F da Lei n. 9.656/1998 determina que a assistência prestada pelas operadoras de planos de assistência à saúde compreende todas as ações necessárias à prevenção da doença e à recuperação, manutenção e reabilitação da saúde, observados os termos da referida lei e do contrato firmado entre as partes, nada mais razoável do que a possibilidade de ressarcimento da operadora contra o causador do dano em caso de culpa. É claro que qualquer procedime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2026-07-27T23:35:53.032Z</dcterms:created>
  <dcterms:modified xsi:type="dcterms:W3CDTF">2026-07-27T23:35:53.032Z</dcterms:modified>
</cp:coreProperties>
</file>

<file path=docProps/custom.xml><?xml version="1.0" encoding="utf-8"?>
<Properties xmlns="http://schemas.openxmlformats.org/officeDocument/2006/custom-properties" xmlns:vt="http://schemas.openxmlformats.org/officeDocument/2006/docPropsVTypes"/>
</file>