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DANOS MORAL E PATRIMONIAL</w:t>
      </w:r>
    </w:p>
    <w:p/>
    <w:p>
      <w:r>
        <w:rPr>
          <w:b/>
          <w:bCs/>
        </w:rPr>
        <w:t xml:space="preserve">Recurso: </w:t>
      </w:r>
      <w:r>
        <w:t xml:space="preserve">MS 34.708/</w:t>
      </w:r>
    </w:p>
    <w:p>
      <w:r>
        <w:rPr>
          <w:b/>
          <w:bCs/>
        </w:rPr>
        <w:t xml:space="preserve">Tribunal: </w:t>
      </w:r>
      <w:r>
        <w:t xml:space="preserve">STJ</w:t>
      </w:r>
    </w:p>
    <w:p/>
    <w:p>
      <w:r>
        <w:t xml:space="preserve">05. ENUNCIADOS APROVADOS NA VI JORNADA DE DIREITO CIVIL — FAMÍLIA E SUCESSÕES</w:t>
      </w:r>
    </w:p>
    <w:p/>
    <w:p>
      <w:pPr>
        <w:pStyle w:val="Heading2"/>
      </w:pPr>
      <w:r>
        <w:rPr>
          <w:b/>
          <w:bCs/>
        </w:rPr>
        <w:t xml:space="preserve">Ementa</w:t>
      </w:r>
    </w:p>
    <w:p>
      <w:r>
        <w:t xml:space="preserve">FAMÍLIA E SUCESSÕES COORDENADOR: OTAVIO LUIZ RODRIGUES JUNIOR ENUNCIADO 570 - O reconhecimento de filho havido em união estável fruto de técnica de reprodução assistida heteróloga "a patre" consentida expressamente pelo companheiro representa a formalização do vínculo jurídico de paternidade-filiação, cuja constituição se deu no momento do início da gravidez da companheira. Artigos: 1.607 e 1.609 do Código Civil Justificativa: O Código Civil de 2002, apesar de admitir a reprodução assistida heteróloga no casamento (art. 1597, V), não tratou expressamente da referida técnica no companheirismo. Com base em pesquisa desenvolvida a respeito do tema e considerando a regra do art. 226, § 7º, da Constituição Federal, é de se afirmar que as técnicas conceptivas são admissíveis em favor dos companheiros. Como não há presunção de paternidade do companheiro em relação ao filho de sua companheira, ainda que ele manifeste consentimento prévio à técnica de reprodução assistida heteróloga, é preciso identificar o mecanismo de estabelecimento do vínculo paterno-filial. Com base na integração das normas jurídicas acerca do tema, deve-se admitir que a manifestação volitiva do homem-companheiro quanto a o reconhecimento da paternidade não tem o condão de estabelecer vínculo, mas apenas de formalizá-lo (ou declará-lo) sem que haja falsidade ideológica em tal manifestação. Na realidade, a paternidade jurídica se constitui mediante ato complexo consistente na mani festação de vontade do companheiro, no sentido de autorizar a companheira a ter acesso a técnica de reprodução assistida heteróloga, e no início da gravidez em razão do êxito da técnica conceptiva. A proposta do enunciado visa evidenciar os dois momentos distintos e, logicamente, as naturezas diversas das duas manifestações de vontade do companheiro: a) a primeira como integrante do ato formador do vínculo jurídico da paternidade; b) a segunda com cará ter de formalização do vínculo, de conteúdo declaratório. Para que não haja dúvida a respeito da possibilidade de formalização do vínculo jurídico de paternidade-filiação, ainda que ocorra a morte do companheiro antes do nascimento do filho fruto de técnica de reprodução assistida heteróloga, houve mudança da redação da proposta original para a redação final aprovada. ENUNCIADO 571 - Se comprovada a resolução prévia e judicial de todas as questões referentes aos filhos menores ou incapazes, o tabelião de notas poderá lavrar escrituras públicas de dissolução conjugal. Artigos: 1.571 ao 1.582 do Código Civil, combinados com a Lei n. 11.441/2007 Justificativa: A Lei n. 11.441/2007 prevê que somente é permitido aos cônjuges fazer uso da escritura pública de separação judicial ou divórcio se não houver interesses de menores ou incapazes. Entretanto, entendemos que, se os interesses dos menores ou incapazes forem atendidos ou resguardados em outro processo judicial, é permitido aos cônjuges dissolver o vínculo matrimonial, inclusive com a partilha de bens e o uso do nome, sem que afete o direito ou interesse dos menores ou incapazes. A Lei n. 11.441?2007 é uma importante inovação legislativa porque representa novo paradigma, o da desjudicialização, para as hipóteses e cláusulas em que há acordo entre os cônjuges. Se há acordo quanto ao divórcio e se os interesses dos menores estão resguardados em lide judicial específica, não há por que objetar o procedimento simples, rápido, desjudicializado, que desafoga o Judiciário e dá resposta mais rápida às questões eminentemente pessoais. Ao Judiciário será requerido somente o que remanescer da lide, sem que haja acordo, como também aqueles que contenham direitos e interesses dos menores ou incapazes. ENUNCIADO 572 - Mediante ordem judicial, é admissível, para a satisfação do crédito alimentar atual, o levantamento do saldo de conta vinculada ao FGTS. Artigos: 1.695 e 1.701, parágrafo único, do Código Civil Justificativa: O direito aos alimentos é um dos mais importantes de nosso sistema, pois serve para garantir existência digna, englobando a alimentação, o vestuário, o lazer, a educação, etc. Como se sabe, atualmente, a única hipótese de prisão civil decorre da dívida de natureza alimentar (art. 5ª, LXVII, CF). Contudo, embora admitida a coerção pessoal, muitas vezes os alimentandos encontram dificuldades em receber o que lhes é de direito. Em algumas oportunidades, o próprio devedor resiste de boa-fé, por não possuir os recursos suficientes para adimplir a pensão. Em tal contexto, uma alterna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2026-07-28T00:08:54.748Z</dcterms:created>
  <dcterms:modified xsi:type="dcterms:W3CDTF">2026-07-28T00:08:54.748Z</dcterms:modified>
</cp:coreProperties>
</file>

<file path=docProps/custom.xml><?xml version="1.0" encoding="utf-8"?>
<Properties xmlns="http://schemas.openxmlformats.org/officeDocument/2006/custom-properties" xmlns:vt="http://schemas.openxmlformats.org/officeDocument/2006/docPropsVTypes"/>
</file>