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PATRIMONIAL</w:t>
      </w:r>
    </w:p>
    <w:p/>
    <w:p/>
    <w:p>
      <w:r>
        <w:t xml:space="preserve">01. ENUNCIADOS APROVADOS NA IV JORNADA DE DIREITO CIVIL — PARTE GERAL</w:t>
      </w:r>
    </w:p>
    <w:p/>
    <w:p>
      <w:pPr>
        <w:pStyle w:val="Heading2"/>
      </w:pPr>
      <w:r>
        <w:rPr>
          <w:b/>
          <w:bCs/>
        </w:rPr>
        <w:t xml:space="preserve">Ementa</w:t>
      </w:r>
    </w:p>
    <w:p>
      <w:r>
        <w:t xml:space="preserve">ENUNCIADOS APROVADOS NA IV JORNADA DE DIREITO CIVIL PARTE GERAL 272 - Art. 10: Não é admitida em nosso ordenamento jurídico a adoção por ato extrajudicial, sendo indispensável a atuação jurisdicional, inclusive para a adoção de maiores de dezoito anos. 273 - Art. 10: Tanto na adoção bilateral quanto na unilateral, quando não se preserva o vínculo com qualquer dos genitores originários, deverá ser averbado o cancelamento do registro originário de nascimento do adotado, lavrando-se novo registro. Sendo unilateral a adoção, e sempre que se preserve o vínculo originário com um dos genitores, deverá ser averbada a substituição do nome do pai ou mãe naturais pelo nome do pai ou mãe adotivos. 274 - Art. 11: Os direitos da personalidade, regulados de maneira não-exaustiva pelo Código Civil, são expressões da cláusula geral de tutela da pessoa humana, contida no art. 1º, inc. III, da Constituição (princípio da dignidade da pessoa humana). Em caso de colisão entre eles, como nenhum pode sobrelevar os demais, deve-se aplicar a técnica da ponderação. 275 - Arts. 12 e 20: O rol dos legitimados de que tratam os arts. 12, parágrafo único, e 20, parágrafo único, do Código Civil também compreende o companheiro. 276 - Art. 13: O art. 13 do Código Civil, ao permitir a disposição do próprio corpo por exigência médica, autoriza as cirurgias de transgenitalização, em conformidade com os procedimentos estabelecidos pelo Conselho Federal de Medicina, e a conseqüente alteração do prenome e do sexo no Registro Civil. 277 - Art. 14: O art. 14 do Código Civil, ao afirmar a validade da disposição gratuita do próprio corpo, com objetivo científico ou altruístico, para depois da morte, determinou que a manifestação expressa do doador de órgãos em vida prevalece sobre a vontade dos familiares, portanto, a aplicação do art. 4º da Lei n. 9.434/97 ficou restrita à hipótese de silêncio do potencial doador. 27 8 - Art. 18: A publicidade que divulgar, sem autorização, qualidades inerentes a determinada pessoa, ainda que sem mencionar seu nome, mas sendo capaz de identificá-la, constitui violação a direito da personalidade. 279 - Art. 20: A proteção à imagem deve ser ponderada com outros interesses constitucionalmente tutelados, especialmente em face do direito de amplo acesso à informação e da liberdade de imprensa. Em caso de colisão, levar-se-á em conta a notoriedade do retratado e dos fatos abordados, bem como a veracidade destes e, ainda, as características de sua utilização (comercial, informativa, biográfica), privilegiando-se medidas que não restrinjam a divulgação de informações. 280 - Arts. 44, 57 e 60: Por força do art. 44, § 2º, consideram-se aplicáveis às sociedades reguladas pelo Livro II da Parte Especial, exceto às limitadas, os arts. 57 e 60, nos seguintes termos: a) em havendo previsão contratual, é possível aos sócios deliberar a exclusão de sócio por justa causa, pela via extrajudicial, cabendo ao contrato disciplinar o procedimento de exclusão, assegurado o direito de defesa, por aplicação analógica do art. 1.085; b) as deliberações sociais poderão ser convocadas por iniciativa de sócios que representem 1/5 (um quinto) do capital social, na omissão do contrato. A mesma regra aplica-se na hipótese de criação, pelo contrato, de outros órgãos de deliberação colegiada. 281 - Art. 50: A aplicação da teoria da desconsideração, descrita no art. 50 do Código Civil, prescinde da demonstração de insolvência da pessoa jurídica. 282 - Art. 50: O encerramento irregular das atividades da pessoa jurídica, por si só, não basta para caracterizar abuso da personalidade jurídica. 283 - Art. 50: É cabível a desconsideração da personalidade jurídica denominada "inversa" para alcançar bens de sócio que se valeu da pessoa jurídica para ocultar ou desviar bens pessoais, com prejuízo a terceiros. 284 - Art. 5 0: As pessoas jurídicas de direito privado sem fins lucrativos ou de fins não-econômicos estão abrangidas no conceito de abuso da personalidade jurídica. 285 - Art. 50: A teoria da desconsideração, prevista no art. 50 do Código Civil, pode ser invocada pela pessoa jurídica, em seu favor. 286 - Art. 52: Os direitos da personalidade são direitos inerentes e essenciais à pessoa humana, decorrentes de sua dignidade, não sendo as pessoas jurídicas titulares de tais direitos. 287 - Art. 98: O critério da classificação de bens indicado no art. 98 do Código Civil não exaure a enumeração dos bens públicos, podendo ainda ser classificado como tal o bem 50 Enunciad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2026-07-28T02:43:03.895Z</dcterms:created>
  <dcterms:modified xsi:type="dcterms:W3CDTF">2026-07-28T02:43:03.895Z</dcterms:modified>
</cp:coreProperties>
</file>

<file path=docProps/custom.xml><?xml version="1.0" encoding="utf-8"?>
<Properties xmlns="http://schemas.openxmlformats.org/officeDocument/2006/custom-properties" xmlns:vt="http://schemas.openxmlformats.org/officeDocument/2006/docPropsVTypes"/>
</file>