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PATRIMONIAL</w:t>
      </w:r>
    </w:p>
    <w:p/>
    <w:p/>
    <w:p>
      <w:r>
        <w:t xml:space="preserve">03. ENUNCIADOS APROVADOS NA IV JORNADA DE DIREITO CIVIL — DIREITO DE FAMÍLIA E SUCESSÕES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APROVADOS NA IV JORNADA DE DIREITO CIVIL DIREITO DE FAMÍLIA E SUCESSÕES 329 - Art. 1.520: A permissão para casamento fora da idade núbil merece interpretação orientada pela dimensão substancial do princípio da igualdade jurídica, ética e moral entre o homem e a mulher, evitando-se, sem prejuízo do respeito à diferença, tratamento discriminatório. 330 - Art. 1.524: As causas suspensivas da celebração do casamento poderão ser argüidas inclusive pelos parentes em linha reta de um dos nubentes e pelos colaterais em segundo grau, por vínculo decorrente de parentesco civil. 331 - Art. 1.639: O estatuto patrimonial do casal pode ser definido por escolha de regime de bens distinto daqueles tipificados no Código Civil (art. 1.639 e parágrafo único do art. 1.640), e, para efeito de fiel observância do disposto no art. 1.528 do Código Civil, cumpre certificação a respeito, nos autos do processo de habilitação matrimonial. 332 - Art. 1.548: A hipótese de nulidade prevista no inc. I do art. 1.548 do Código Civil se restringe ao casamento realizado por enfermo mental absolutamente incapaz, nos termos do inc. II do art. 3º do Código Civil. 333 - Arts. 1.584 e 1.589: O direito de visita pode ser estendido aos avós e a pessoas com as quais a criança ou o adolescente mantenha vínculo afetivo, atendendo ao seu melhor interesse. 334 - Art. 1.584: A guarda de fato pode ser reputada como consolidada diante da estabilidade da convivência familiar entre a criança ou o adolescente e o terceiro guardião, desde que seja atendido o princípio do melhor interesse. 335 - Art. 1.636: A guarda compartilhada deve ser estimulada, utilizando-se, sempre que possível, da mediação e da orientação de equipe interdisciplinar. 336 - Art. 1.584: O parágrafo único do art. 1.584 aplica-se também aos filhos advindos de qualquer forma de família. 337 - Art. 1.588: O fato de o pai ou a mãe constituírem nova união não repercute no direito de terem os filhos do leito anterior em sua companhia, salvo quando houver comprometimento da sadia formação e do integral desenvolvimento da personalidade destes. 338 - Art. 1.588: A cláusula de não-tratamento conveniente para a perda da guarda dirige-se a todos os que integram, de modo direto ou reflexo, as novas relações familiares. 339 - A paternidade socioafetiva, calcada na vontade livre, não pode ser rompida em detrimento do melhor interesse do filho. 340 - Art. 1.665: No regime da comunhão parcial de bens é sempre indispensável a autorização do cônjuge, ou seu suprimento judicial, para atos de disposição sobre bens imóveis. 341 - Art. 1.696: Para os fins do art. 1.696, a relação socioafetiva pode ser elemento gerador de obrigação alimentar. 342 - Art. 1.695: Observadas suas condições pessoais e sociais, os avós somente serão obrigados a prestar alimentos aos netos em caráter exclusivo, sucessivo, complementar e não-solidário quando os pais destes estiverem impossibilitados de fazê-lo, caso em que as necessidades básicas dos alimentandos serão aferidas, prioritariamente, segundo o nível econômico-financeiro de seus genitores. 343 - Art. 1.700: A transmissibilidade da obrigação alimentar é limitada às forças da herança. 344 - Art. 1.701: A obrigação alimentar originada do poder familiar, especialmente para atender às necessidades educacionais, pode não cessar com a maioridade. 345 - Art. 1.708: O "procedimento indigno" do credor em relação ao devedor, previsto no parágrafo único do art. 1.708 do Código Civil, pode ensejar a exoneração ou apenas a redução do valor da pensão alimentícia para quantia indispensável à sobrevivência do credor. 346 - Art. 1.725: Na união estável o regime patrimonial obedecerá à norma vigente no momento da aquisição de cada bem, salvo contrato escrito.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2026-10-26T04:40:58.702Z</dcterms:created>
  <dcterms:modified xsi:type="dcterms:W3CDTF">2026-10-26T04:40:58.702Z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