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PATRIMONIAL</w:t>
      </w:r>
    </w:p>
    <w:p/>
    <w:p/>
    <w:p>
      <w:r>
        <w:t xml:space="preserve">03. ENUNCIADOS APROVADOS NA IV JORNADA DE DIREITO CIVIL — DIREITO DE FAMÍLIA E SUCESSÕES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ENUNCIADOS APROVADOS NA IV JORNADA DE DIREITO CIVIL DIREITO DE FAMÍLIA E SUCESSÕES 329 - Art. 1.520: A permissão para casamento fora da idade núbil merece interpretação orientada pela dimensão substancial do princípio da igualdade jurídica, ética e moral entre o homem e a mulher, evitando-se, sem prejuízo do respeito à diferença, tratamento discriminatório. 330 - Art. 1.524: As causas suspensivas da celebração do casamento poderão ser argüidas inclusive pelos parentes em linha reta de um dos nubentes e pelos colaterais em segundo grau, por vínculo decorrente de parentesco civil. 331 - Art. 1.639: O estatuto patrimonial do casal pode ser definido por escolha de regime de bens distinto daqueles tipificados no Código Civil (art. 1.639 e parágrafo único do art. 1.640), e, para efeito de fiel observância do disposto no art. 1.528 do Código Civil, cumpre certificação a respeito, nos autos do processo de habilitação matrimonial. 332 - Art. 1.548: A hipótese de nulidade prevista no inc. I do art. 1.548 do Código Civil se restringe ao casamento realizado por enfermo mental absolutamente incapaz, nos termos do inc. II do art. 3º do Código Civil. 333 - Arts. 1.584 e 1.589: O direito de visita pode ser estendido aos avós e a pessoas com as quais a criança ou o adolescente mantenha vínculo afetivo, atendendo ao seu melhor interesse. 334 - Art. 1.584: A guarda de fato pode ser reputada como consolidada diante da estabilidade da convivência familiar entre a criança ou o adolescente e o terceiro guardião, desde que seja atendido o princípio do melhor interesse. 335 - Art. 1.636: A guarda compartilhada deve ser estimulada, utilizando-se, sempre que possível, da mediação e da orientação de equipe interdisciplinar. 336 - Art. 1.584: O parágrafo único do art. 1.584 aplica-se também aos filhos advindos de qualquer forma de família. 337 - Art. 1.588: O fato de o pai ou a mãe constituírem nova união não repercute no direito de terem os filhos do leito anterior em sua companhia, salvo quando houver comprometimento da sadia formação e do integral desenvolvimento da personalidade destes. 338 - Art. 1.588: A cláusula de não-tratamento conveniente para a perda da guarda dirige-se a todos os que integram, de modo direto ou reflexo, as novas relações familiares. 339 - A paternidade socioafetiva, calcada na vontade livre, não pode ser rompida em detrimento do melhor interesse do filho. 340 - Art. 1.665: No regime da comunhão parcial de bens é sempre indispensável a autorização do cônjuge, ou seu suprimento judicial, para atos de disposição sobre bens imóveis. 341 - Art. 1.696: Para os fins do art. 1.696, a relação socioafetiva pode ser elemento gerador de obrigação alimentar. 342 - Art. 1.695: Observadas suas condições pessoais e sociais, os avós somente serão obrigados a prestar alimentos aos netos em caráter exclusivo, sucessivo, complementar e não-solidário quando os pais destes estiverem impossibilitados de fazê-lo, caso em que as necessidades básicas dos alimentandos serão aferidas, prioritariamente, segundo o nível econômico-financeiro de seus genitores. 343 - Art. 1.700: A transmissibilidade da obrigação alimentar é limitada às forças da herança. 344 - Art. 1.701: A obrigação alimentar originada do poder familiar, especialmente para atender às necessidades educacionais, pode não cessar com a maioridade. 345 - Art. 1.708: O "procedimento indigno" do credor em relação ao devedor, previsto no parágrafo único do art. 1.708 do Código Civil, pode ensejar a exoneração ou apenas a redução do valor da pensão alimentícia para quantia indispensável à sobrevivência do credor. 346 - Art. 1.725: Na união estável o regime patrimonial obedecerá à norma vigente no momento da aquisição de cada bem, salvo contrato escrito.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2026-07-28T07:09:51.082Z</dcterms:created>
  <dcterms:modified xsi:type="dcterms:W3CDTF">2026-07-28T07:09:51.082Z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