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/>
    <w:p>
      <w:r>
        <w:t xml:space="preserve">04. ENUNCIADOS APROVADOS NA IV JORNADA DE DIREITO CIVIL — DIREITO DAS OBRIGAÇÕES E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IV JORNADA DE DIREITO CIVIL DIREITO DAS OBRIGAÇÕES E RESPONSABILIDADE CIVIL 347 - Art. 266: A solidariedade admite outras disposições de conteúdo particular além do rol previsto no art. 266 do Código Civil. 348 - Arts. 275/282: O pagamento parcial não implica, por si só, renúncia à solidariedade, a qual deve derivar dos termos expressos da quitação ou, inequivocamente, das circunstâncias do recebimento da prestação pelo credor. 349 - Art. 282: Com a renúncia à solidariedade quanto a apenas um dos devedores solidários, o credor só poderá cobrar do beneficiado a sua quota na dívida, permanecendo a solidariedade quanto aos demais devedores, abatida do débito a parte correspondente aos beneficiados pela renúncia. 350 - Art. 284: A renúncia à solidariedade diferencia-se da remissão, em que o devedor fica inteiramente liberado do vínculo obrigacional, inclusive no que tange ao rateio da quota do eventual co-devedor insolvente, nos termos do art. 284. 351 - Art. 282: A renúncia à solidariedade em favor de determinado devedor afasta a hipótese de seu chamamento ao processo. 352 - Art. 300: Salvo expressa concordância dos terceiros, as garantias por eles prestadas se extinguem com a assunção da dívida; já as garantias prestadas pelo devedor primitivo somente serão mantidas se este concordar com a assunção. 353 - Art. 303: A recusa do credor, quando notificado pelo adquirente de imóvel hipotecado comunicando-lhe o interesse em assumir a obrigação, deve ser justificada. 354 - Arts. 395, 396 e 408: A cobrança de encargos e parcelas indevidas ou abusivas impede a caracterização da mora do devedor. 355 - Art. 413: Não podem as partes renunciar à possibilidade de redução da cláusula penal se ocorrer qualquer das hipóteses previstas no art. 413 do Código Civil, por se tratar de preceito de ordem pública. 356 - Art. 413: Nas hipóteses pre vistas no art. 413 do Código Civil, o juiz deverá reduzir a cláusula penal de ofício. 357 - Art. 413: O art. 413 do Código Civil é o que complementa o art. 4º da Lei n. 8.245/91. Revogado o Enunciado 179 da III Jornada. 358 - Art. 413: O caráter manifestamente excessivo do valor da cláusula penal não se confunde com a alteração das circunstâncias, a excessiva onerosidade e a frustração do fim do negócio jurídico, que podem incidir autonomamente e possibilitar sua revisão para mais ou para menos. 359 - Art. 413: A redação do art. 413 do Código Civil não impõe que a redução da penalidade seja proporcionalmente idêntica ao percentual adimplido. 360 - Art. 421: O princípio da função social dos contratos também pode ter eficácia interna entre as partes contratantes. 361 - Arts. 421, 422 e 475: O adimplemento substancial decorre dos princípios gerais contratuais, de modo a fazer preponderar a função social do contrato e o princípio da boa-fé objetiva, balizando a aplicação do art. 475. 362 - Art. 422: A vedação do comportamento contraditório (venire contra factum proprium) funda-se na proteção da confiança, tal como se extrai dos arts. 187 e 422 do Código Civil. 363 - Art. 422: Os princípios da probidade e da confiança são de ordem pública, sendo obrigação da parte lesada apenas demonstrar a existência da violação. 364 - Arts. 424 e 828: No contrato de fiança é nula a cláusula de renúncia antecipada ao benefício de ordem quando inserida em contrato de adesão. 365 - Art. 478. A extrema vantagem do art. 478 deve ser interpretada como elemento acidental da alteração das circunstâncias, que comporta a incidência da resolução ou revisão do negócio por onerosidade excessiva, independentemente de sua demonstração plena. 366 - Art. 478: O fato extraordinário e imprevisível causador de onerosidade excessiva é aquele que não está coberto objetivamente pelos riscos pr óprios da contratação. 367 - Art. 479: Em observância ao princípio da conservação do contrato, nas ações que tenham por objeto a resolução do pacto por excessiva onerosidade, pode o juiz modificá-lo eqüitativamente, desde que ouvida a parte autora, respeitada sua vontade e observado o contraditório. 368 - Art. 496: O prazo para anular venda de ascendente para descendente é decadencial de dois anos (art. 179 do Código Civil). 369 - Arts. 732 e 735: Diante do preceito constante no art. 732 do Código Civil, teleologicamente e em uma visão constitucional de unidade do sistema, quando o contrato de transporte constituir uma relação de consumo, aplicam-se as normas do Código de Defesa do Consumidor que forem mais benéficas a este. 370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2026-10-26T03:08:08.162Z</dcterms:created>
  <dcterms:modified xsi:type="dcterms:W3CDTF">2026-10-26T03:08:08.162Z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