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DA JUSTIÇA FEDERAL</w:t>
      </w:r>
    </w:p>
    <w:p>
      <w:r>
        <w:rPr>
          <w:i/>
          <w:iCs/>
          <w:color w:val="666666"/>
        </w:rPr>
        <w:t xml:space="preserve">III. JORNADA DE DIREITO CIVIL</w:t>
      </w:r>
    </w:p>
    <w:p/>
    <w:p/>
    <w:p>
      <w:r>
        <w:t xml:space="preserve">05. ENUNCIADOS APROVADOS NA IV JORNADA DE DIREITO CIVIL — DIREITO DE EMPRESA</w:t>
      </w:r>
    </w:p>
    <w:p/>
    <w:p>
      <w:pPr>
        <w:pStyle w:val="Heading2"/>
      </w:pPr>
      <w:r>
        <w:rPr>
          <w:b/>
          <w:bCs/>
        </w:rPr>
        <w:t xml:space="preserve">Ementa</w:t>
      </w:r>
    </w:p>
    <w:p>
      <w:r>
        <w:t xml:space="preserve">ENUNCIADOS APROVADOS NA IV JORNADA DE DIREITO CIVIL DIREITO DE EMPRESA 382 - Art. 983: Nas sociedades, o registro observa a natureza da atividade (empresarial ou não - art. 966); as demais questões seguem as normas pertinentes ao tipo societário adotado (art. 983). São exceções as sociedades por ações e as cooperativas (art. 982, parágrafo único). 383 - Art. 997: A falta de registro do contrato social (irregularidade originária - art. 998) ou de alteração contratual versando sobre matéria referida no art. 997 (irregularidade I, III, IV e V Jornadas de Direito Civil superveniente - art. 999, parágrafo único) conduz à aplicação das regras da sociedade em comum (art. 986). 384 - Art. 999: Nas sociedades personificadas previstas no Código Civil, exceto a cooperativa, é admissível o acordo de sócios, por aplicação analógica das normas relativas às sociedades por ações pertinentes ao acordo de acionistas. 385 - Art. 999: A unanimidade exigida para a modificação do contrato social somente alcança as matérias referidas no art. 997, prevalecendo, nos demais casos de deliberação dos sócios, a maioria absoluta, se outra mais qualificada não for prevista no contrato. 386 - Na apuração dos haveres do sócio devedor, por conseqüência da liquidação de suas quotas na sociedade para pagamento ao seu credor (art. 1.026, parágrafo único), não devem ser consideradas eventuais disposições contratuais restritivas à determinação de seu valor. 387 - Art. 1.026: A opção entre fazer a execução recair sobre o que ao sócio couber no lucro da sociedade ou sobre a parte que lhe tocar em dissolução orienta-se pelos princípios da menor onerosidade e da função social da empresa. 388 - Art. 1.026: O disposto no art. 1.026 do Código Civil não exclui a possibilidade de o credor fazer recair a execução sobre os direitos patrimoniais da quota de participação que o devedor possui no capital da sociedade. 389 - Art. 1.026: Quando se tratar de sócio de serviço, não poderá haver penhora das verbas descritas no art. 1026, se de caráter alimentar. 390 - Art. 1.029: Em regra, é livre a retirada de sócio nas sociedades limitadas e anônimas fechadas, por prazo indeterminado, desde que tenham integralizado a respectiva parcela do capital, operando-se a denúncia (arts. 473 e 1.029). 391 - Arts. 1.031, 1.057 e 1.058: A sociedade limitada pode adquirir suas próprias quotas, observadas as condições estabelecidas na Lei das Sociedades por Ações. 392 - Art. 1.077: Nas hipóteses do art. 1.077 do Código Civil, cabe aos sócios delimitar seus contornos para compatibilizá-los com os princípios da preservação e da função social da empresa, aplicando-se, supletiva (art. 1.053, parágrafo único) ou analogicamente (art. 4º da LICC), o art. 137, § 3º, da Lei das Sociedades por Ações, para permitir a reconsideração da deliberação que autorizou a retirada do sócio dissidente. 393 - Art. 1.143: A validade da alienação do estabelecimento empresarial não depende de forma específica, observado o regime jurídico dos bens que a exijam. 394 - Art. 2.031: Ainda que não promovida a adequação do contrato social no prazo previsto no art. 2.031 do Código Civil, as sociedades não perdem a personalidade jurídica adquirida antes de seu advento. 395 - Art. 2.031: A sociedade registrada antes da vigência do Código Civil não está obrigada a adaptar seu nome às novas disposições. 396 - Art. 2.035: A capacidade para contratar a constituição da sociedade submete-se à lei vigente no momento do registro.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2026-06-17T14:08:31.535Z</dcterms:created>
  <dcterms:modified xsi:type="dcterms:W3CDTF">2026-06-17T14:08:31.535Z</dcterms:modified>
</cp:coreProperties>
</file>

<file path=docProps/custom.xml><?xml version="1.0" encoding="utf-8"?>
<Properties xmlns="http://schemas.openxmlformats.org/officeDocument/2006/custom-properties" xmlns:vt="http://schemas.openxmlformats.org/officeDocument/2006/docPropsVTypes"/>
</file>