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DA JUSTIÇA FEDERAL</w:t>
      </w:r>
    </w:p>
    <w:p>
      <w:r>
        <w:rPr>
          <w:i/>
          <w:iCs/>
          <w:color w:val="666666"/>
        </w:rPr>
        <w:t xml:space="preserve">III. JORNADA DE DIREITO CIVIL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01. ENUNCIADOS APROVADOS NA V JORNADA DE DIREITO CIVIL — PARTE GERAL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APROVADOS NA V JORNADA DE DIREITO CIVIL PARTE GERAL 397 - Art. 5º: A emancipação por concessão dos pais ou por sentença do juiz está sujeita à desconstituição por vício de vontade. 398 - Art. 12, parágrafo único: As medidas previstas no art. 12, parágrafo único, do Código Civil podem ser invocadas por qualquer uma das pessoas ali mencionadas de forma concorrente e autônoma. 399 - Arts. 12, parágrafo único e 20, parágrafo único: Os poderes conferidos aos legitimados para a tutela post mortem dos direitos da personalidade, nos termos dos arts. 12, parágrafo único, e 20, parágrafo único, do CC, não compreendem a faculdade de limitação voluntária. 400 - Arts. 12, parágrafo único, e 20, parágrafo único: Os parágrafos únicos dos arts. 12 e 20 asseguram legitimidade, por direito próprio, aos parentes, cônjuge ou companheiro para a tutela contra lesão perpetrada post mortem. 401 - Art. 13: Não contraria os bons costumes a cessão gratuita de direitos de uso de material biológico para fins de pesquisa científica, desde que a manifestação de vontade tenha sido livre, esclarecida e puder ser revogada a qualquer tempo, conforme as normas éticas que regem a pesquisa científica e o respeito aos direitos fundamentais. 402 - Art. 14, parágrafo único: O art. 14, parágrafo único, do Código Civil, fundado no consentimento informado, não dispensa o consentimento dos adolescentes para a doação de medula óssea prevista no art. 9º, § 6º, da Lei n. 9.434/1997 por aplicação analógica dos arts. 28, § 2º (alterado pela Lei n. 12.010/2009), e 45, § 2º, do ECA. 403 - Art. 15: O Direito à inviolabilidade de consciência e de crença, previsto no art. 5º, VI, da Constituição Federal, aplica-se também à pessoa que se nega a tratamento médico, inclusive transfusão de sangue, com ou sem risco de morte, em razão do tratamento ou da falta dele, desde que observados os seguintes critérios: a) capacidad e civil plena, excluído o suprimento pelo representante ou assistente; b) manifestação de vontade livre, consciente e informada; e c) oposição que diga respeito exclusivamente à própria pessoa do declarante. 404 - Art. 21: A tutela da privacidade da pessoa humana compreende os controles espacial, contextual e temporal dos próprios dados, sendo necessário seu expresso consentimento para tratamento de informações que versem especialmente o estado de saúde, a condição sexual, a origem racial ou étnica, as convicções religiosas, filosóficas e políticas. 405 - Art. 21: As informações genéticas são parte da vida privada e não podem ser utilizadas para fins diversos daqueles que motivaram seu armazenamento, registro ou uso, salvo com autorização do titular. 406 - Art. 50: A desconsideração da personalidade jurídica alcança os grupos de sociedade quando estiverem presentes os pressupostos do art. 50 do Código Civil e houver prejuízo para os credores até o limite transferido entre as sociedades. 407 - Art. 61: A obrigatoriedade de destinação do patrimônio líquido remanescente da associação à instituição municipal, estadual ou federal de fins idênticos ou semelhantes, em face da omissão do estatuto, possui caráter subsidiário, devendo prevalecer a vontade dos associados, desde que seja contemplada entidade que persiga fins não econômicos. 408 - Arts. 70 e 7º da Lei de Introdução às Normas do Direito Brasileiro: Para efeitos de interpretação da expressão "domicílio" do art. 7º da Lei de Introdução às Normas do Direito Brasileiro, deve ser considerada, nas hipóteses de litígio internacional relativo a criança ou adolescente, a residência habitual destes, pois se trata de situação fática internacionalmente aceita e conhecida. 409 - Art. 113: Os negócios jurídicos devem ser interpretados não só conforme a boa-fé e os usos do lugar de sua celebração, mas também de acordo com as práticas habitualmente adotadas en tre as partes. 410 - Art. 157: A inexperiência a que se refere o art. 157 não deve necessariamente significar imaturidade ou desconhecimento em relação à prática de negócios jurídicos em geral, podendo ocorrer também quando o lesado, ainda que estipule contratos costumeiramente, não tenha conhecimento específico sobre o negócio em causa. 411 - Art. 186: O descumprimento de contrato pode gerar dano moral quando envolver valor fundamental protegido pela Constituição Federal de 1988. 412 - Art. 187: As diversas hipóteses de exercício inadmissível de uma situação jurídica subjetiva, tais como supressio, tu quoque, surrectio e venire contra factum proprium,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2026-06-17T15:27:36.938Z</dcterms:created>
  <dcterms:modified xsi:type="dcterms:W3CDTF">2026-06-17T15:27:36.938Z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