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DA JUSTIÇA FEDERAL</w:t>
      </w:r>
    </w:p>
    <w:p>
      <w:r>
        <w:rPr>
          <w:i/>
          <w:iCs/>
          <w:color w:val="666666"/>
        </w:rPr>
        <w:t xml:space="preserve">III. JORNADA DE DIREITO CIVIL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01. ENUNCIADOS APROVADOS NA V JORNADA DE DIREITO CIVIL — PARTE GERAL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APROVADOS NA V JORNADA DE DIREITO CIVIL PARTE GERAL 397 - Art. 5º: A emancipação por concessão dos pais ou por sentença do juiz está sujeita à desconstituição por vício de vontade. 398 - Art. 12, parágrafo único: As medidas previstas no art. 12, parágrafo único, do Código Civil podem ser invocadas por qualquer uma das pessoas ali mencionadas de forma concorrente e autônoma. 399 - Arts. 12, parágrafo único e 20, parágrafo único: Os poderes conferidos aos legitimados para a tutela post mortem dos direitos da personalidade, nos termos dos arts. 12, parágrafo único, e 20, parágrafo único, do CC, não compreendem a faculdade de limitação voluntária. 400 - Arts. 12, parágrafo único, e 20, parágrafo único: Os parágrafos únicos dos arts. 12 e 20 asseguram legitimidade, por direito próprio, aos parentes, cônjuge ou companheiro para a tutela contra lesão perpetrada post mortem. 401 - Art. 13: Não contraria os bons costumes a cessão gratuita de direitos de uso de material biológico para fins de pesquisa científica, desde que a manifestação de vontade tenha sido livre, esclarecida e puder ser revogada a qualquer tempo, conforme as normas éticas que regem a pesquisa científica e o respeito aos direitos fundamentais. 402 - Art. 14, parágrafo único: O art. 14, parágrafo único, do Código Civil, fundado no consentimento informado, não dispensa o consentimento dos adolescentes para a doação de medula óssea prevista no art. 9º, § 6º, da Lei n. 9.434/1997 por aplicação analógica dos arts. 28, § 2º (alterado pela Lei n. 12.010/2009), e 45, § 2º, do ECA. 403 - Art. 15: O Direito à inviolabilidade de consciência e de crença, previsto no art. 5º, VI, da Constituição Federal, aplica-se também à pessoa que se nega a tratamento médico, inclusive transfusão de sangue, com ou sem risco de morte, em razão do tratamento ou da falta dele, desde que observados os seguintes critérios: a) capacidad e civil plena, excluído o suprimento pelo representante ou assistente; b) manifestação de vontade livre, consciente e informada; e c) oposição que diga respeito exclusivamente à própria pessoa do declarante. 404 - Art. 21: A tutela da privacidade da pessoa humana compreende os controles espacial, contextual e temporal dos próprios dados, sendo necessário seu expresso consentimento para tratamento de informações que versem especialmente o estado de saúde, a condição sexual, a origem racial ou étnica, as convicções religiosas, filosóficas e políticas. 405 - Art. 21: As informações genéticas são parte da vida privada e não podem ser utilizadas para fins diversos daqueles que motivaram seu armazenamento, registro ou uso, salvo com autorização do titular. 406 - Art. 50: A desconsideração da personalidade jurídica alcança os grupos de sociedade quando estiverem presentes os pressupostos do art. 50 do Código Civil e houver prejuízo para os credores até o limite transferido entre as sociedades. 407 - Art. 61: A obrigatoriedade de destinação do patrimônio líquido remanescente da associação à instituição municipal, estadual ou federal de fins idênticos ou semelhantes, em face da omissão do estatuto, possui caráter subsidiário, devendo prevalecer a vontade dos associados, desde que seja contemplada entidade que persiga fins não econômicos. 408 - Arts. 70 e 7º da Lei de Introdução às Normas do Direito Brasileiro: Para efeitos de interpretação da expressão "domicílio" do art. 7º da Lei de Introdução às Normas do Direito Brasileiro, deve ser considerada, nas hipóteses de litígio internacional relativo a criança ou adolescente, a residência habitual destes, pois se trata de situação fática internacionalmente aceita e conhecida. 409 - Art. 113: Os negócios jurídicos devem ser interpretados não só conforme a boa-fé e os usos do lugar de sua celebração, mas também de acordo com as práticas habitualmente adotadas en tre as partes. 410 - Art. 157: A inexperiência a que se refere o art. 157 não deve necessariamente significar imaturidade ou desconhecimento em relação à prática de negócios jurídicos em geral, podendo ocorrer também quando o lesado, ainda que estipule contratos costumeiramente, não tenha conhecimento específico sobre o negócio em causa. 411 - Art. 186: O descumprimento de contrato pode gerar dano moral quando envolver valor fundamental protegido pela Constituição Federal de 1988. 412 - Art. 187: As diversas hipóteses de exercício inadmissível de uma situação jurídica subjetiva, tais como supressio, tu quoque, surrectio e venire contra factum proprium,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2026-09-10T22:12:46.183Z</dcterms:created>
  <dcterms:modified xsi:type="dcterms:W3CDTF">2026-09-10T22:12:46.183Z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