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DA JUSTIÇA FEDERAL</w:t>
      </w:r>
    </w:p>
    <w:p>
      <w:r>
        <w:rPr>
          <w:i/>
          <w:iCs/>
          <w:color w:val="666666"/>
        </w:rPr>
        <w:t xml:space="preserve">III. JORNADA DE DIREITO CIVIL</w:t>
      </w:r>
    </w:p>
    <w:p/>
    <w:p>
      <w:r>
        <w:rPr>
          <w:b/>
          <w:bCs/>
        </w:rPr>
        <w:t xml:space="preserve">Recurso: </w:t>
      </w:r>
      <w:r>
        <w:t xml:space="preserve">re -</w:t>
      </w:r>
    </w:p>
    <w:p/>
    <w:p>
      <w:r>
        <w:t xml:space="preserve">02. ENUNCIADOS APROVADOS NA V JORNADA DE DIREITO CIVIL — DIREITO DAS OBRIGAÇÕES</w:t>
      </w:r>
    </w:p>
    <w:p/>
    <w:p>
      <w:pPr>
        <w:pStyle w:val="Heading2"/>
      </w:pPr>
      <w:r>
        <w:rPr>
          <w:b/>
          <w:bCs/>
        </w:rPr>
        <w:t xml:space="preserve">Ementa</w:t>
      </w:r>
    </w:p>
    <w:p>
      <w:r>
        <w:t xml:space="preserve">ENUNCIADOS APROVADOS NA V JORNADA DE DIREITO CIVIL DIREITO DAS OBRIGAÇÕES 421 - Arts. 112 e 113: Os contratos coligados devem ser interpretados segundo os critérios hermenêuticos do Código Civil, em especial os dos arts. 112 e 113, considerada a sua conexão funcional. 422 - Art. 300: (Fica mantido o teor do Enunciado n. 352) A expressão "garantias especiais" constante do art. 300 do CC/2002 refere-se a todas as garantias, quaisquer delas, reais ou fidejussórias, que tenham sido prestadas voluntária e originariamente pelo devedor primitivo ou por terceiro, vale dizer, aquelas que dependeram da vontade do garantidor, devedor ou terceiro para se constituírem. 423 - Art. 301: O art. 301 do CC deve ser interpretado de forma a também abranger os negócios jurídicos nulos e a significar a continuidade da relação obrigacional originária em vez de "restauração", porque, envolvendo hipótese de transmissão, aquela relação nunca deixou de existir. 424 - Art. 303, segunda parte: A comprovada ciência de que o reiterado pagamento é feito por terceiro no interesse próprio produz efeitos equivalentes aos da notificação de que trata o art. 303, segunda parte. 425 - Art. 308: O pagamento repercute no plano da eficácia, e não no plano da validade como preveem os arts. 308, 309 e 310 do Código Civil. 426 - Art. 389: Os honorários advocatícios previstos no art. 389 do Código Civil não se confundem com as verbas de sucumbência, que, por força do art. 23 da Lei n. 8.906/1994, pertencem ao advogado. 427 - Art. 397, parágrafo único: É válida a notificação extrajudicial promovida em serviço de registro de títulos e documentos de circunscrição judiciária diversa da do domicílio do devedor. 428 - Art. 405: Os juros de mora, nas obrigações negociais, fluem a partir do advento do termo da prestação, estando a incidência do disposto no art. 405 da codificação limitada às hipóteses em que a citaç ão representa o papel de notificação do devedor ou àquelas em que o objeto da prestação não tem liquidez. 429 - Art. 413: As multas previstas nos acordos e convenções coletivas de trabalho, cominadas para impedir o descumprimento das disposições normativas constantes desses instrumentos, em razão da negociação coletiva dos sindicatos e empresas, têm natureza de cláusula penal e, portanto, podem ser reduzidas pelo juiz do trabalho quando cumprida parcialmente a cláusula ajustada ou quando se tornarem excessivas para o fim proposto, nos termos do art. 413 do Código Civil. 430 - Art. 416, parágrafo único: No contrato de adesão, o prejuízo comprovado do aderente que exceder ao previsto na cláusula penal compensatória poderá ser exigido pelo credor independentemente de convenção. 431 - Art. 421: A violação do art. 421 conduz à invalidade ou à ineficácia do contrato ou de cláusulas contratuais. 432 - Art. 422: Em contratos de financiamento bancário, são abusivas cláusulas contratuais de repasse de custos administrativos (como análise do crédito, abertura de cadastro, emissão de fichas de compensação bancária, etc.), seja por estarem intrinsecamente vinculadas ao exercício da atividade econômica, seja por violarem o princípio da boa-fé objetiva. 433 - Art. 424: A cláusula de renúncia antecipada ao direito de indenização e retenção por benfeitorias necessárias é nula em contrato de locação de imóvel urbano feito nos moldes do contrato de adesão. 434 - Art. 456: A ausência de denunciação da lide ao alienante, na evicção, não impede o exercício de pretensão reparatória por meio de via autônoma. 435 - Art. 462: O contrato de promessa de permuta de bens imóveis é título passível de registro na matrícula imobiliária. 436 - Art. 474: A cláusula resolutiva expressa produz efeitos extintivos independentemente de pronunciamento judicial. 437 - Art. 475: A resolução da relação jurídica contratual também pode decorrer do inadimplemento antecipado. 438 - Art. 477: A exceção de inseguridade, prevista no art. 477, também pode ser oposta à parte cuja conduta põe, manifestamente em risco, a execução do programa contratual. 439 - Art. 478: A revisão do contrato por onerosidade excessiva fundada no Código Civil deve levar em conta a natureza do objeto do contrato. Nas relações empresariais, observar-se-á a sofisticação dos contratantes e a alocação de riscos por eles assumidas com o contrato. 440 - Art. 478: É possível a revisão ou resolução por excessiva onerosidade em contratos aleatórios, desde que o evento superveniente, extraordinário e imprevisível não se relacione com a álea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2026-06-17T15:24:28.956Z</dcterms:created>
  <dcterms:modified xsi:type="dcterms:W3CDTF">2026-06-17T15:24:28.956Z</dcterms:modified>
</cp:coreProperties>
</file>

<file path=docProps/custom.xml><?xml version="1.0" encoding="utf-8"?>
<Properties xmlns="http://schemas.openxmlformats.org/officeDocument/2006/custom-properties" xmlns:vt="http://schemas.openxmlformats.org/officeDocument/2006/docPropsVTypes"/>
</file>