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DA JUSTIÇA FEDERAL</w:t>
      </w:r>
    </w:p>
    <w:p>
      <w:r>
        <w:rPr>
          <w:i/>
          <w:iCs/>
          <w:color w:val="666666"/>
        </w:rPr>
        <w:t xml:space="preserve">III. JORNADA DE DIREITO CIVIL</w:t>
      </w:r>
    </w:p>
    <w:p/>
    <w:p/>
    <w:p>
      <w:r>
        <w:t xml:space="preserve">03. ENUNCIADOS APROVADOS NA V JORNADA DE DIREITO CIVIL — RESPONSABILIDADE CIVIL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ENUNCIADOS APROVADOS NA V JORNADA DE DIREITO CIVIL RESPONSABILIDADE CIVIL 443 - Arts. 393 e 927: O caso fortuito e a força maior somente serão considerados como excludentes da responsabilidade civil quando o fato gerador do dano não for conexo à atividade desenvolvida. 444 - Art. 927: A responsabilidade civil pela perda de chance não se limita à categoria de danos extrapatrimoniais, pois, conforme as circunstâncias do caso concreto, a chance perdida pode apresentar também a natureza jurídica de dano patrimonial. A chance deve ser séria e real, não ficando adstrita a percentuais apriorísticos. 445 - Art. 927: O dano moral indenizável não pressupõe necessariamente a verificação de sentimentos humanos desagradáveis como dor ou sofrimento. 446 - Art. 927: A responsabilidade civil prevista na segunda parte do parágrafo único do art. 927 do Código Civil deve levar em consideração não apenas a proteção da vítima e a atividade do ofensor, mas também a prevenção e o interesse da sociedade. 447 - Art. 927: As agremiações esportivas são objetivamente responsáveis por danos causados a terceiros pelas torcidas organizadas, agindo nessa qualidade, quando, de qualquer modo, as financiem ou custeiem, direta ou indiretamente, total ou parcialmente. 448 - Art. 927: A regra do art. 927, parágrafo único, segunda parte, do CC aplica-se sempre que a atividade normalmente desenvolvida, mesmo sem defeito e não essencialmente perigosa, induza, por sua natureza, risco especial e diferenciado aos direitos de outrem. São critérios de avaliação desse risco, entre outros, a estatística, a prova técnica e as máximas de experiência. 449 - Art. 928, parágrafo único: A indenização equitativa a que se refere o art. 928, parágrafo único, do Código Civil não é necessariamente reduzida sem prejuízo do Enunciado n. 39 da I Jornada de Direito Civil. 450 - Art. 932, I: Considerando que a responsabilidad e dos pais pelos atos danosos praticados pelos filhos menores é objetiva, e não por culpa presumida, ambos os genitores, no exercício do poder familiar, são, em regra, solidariamente responsáveis por tais atos, ainda que estejam separados, ressalvado o direito de regresso em caso de culpa exclusiva de um dos genitores. 451 - Arts. 932 e 933: A responsabilidade civil por ato de terceiro funda-se na responsabilidade objetiva ou independente de culpa, estando superado o modelo de culpa presumida. 452 - Art. 936: A responsabilidade civil do dono ou detentor de animal é objetiva, admitindo-se a excludente do fato exclusivo de terceiro. 453 - Art. 942: Na via regressiva, a indenização atribuída a cada agente será fixada proporcionalmente à sua contribuição para o evento danoso. 454 - Art. 943: O direito de exigir reparação a que se refere o art. 943 do Código Civil abrange inclusive os danos morais, ainda que a ação não tenha sido iniciada pela vítima. 455 - Art. 944: Embora o reconhecimento dos danos morais se dê, em numerosos casos, independentemente de prova (in re ipsa), para a sua adequada quantificação, deve o juiz investigar, sempre que entender necessário, as circunstâncias do caso concreto, inclusive por intermédio da produção de depoimento pessoal e da prova testemunhal em audiência. 456 - Art. 944: A expressão "dano" no art. 944 abrange não só os danos individuais, materiais ou imateriais, mas também os danos sociais, difusos, coletivos e individuais homogêneos a serem reclamados pelos legitimados para propor ações coletivas. 457 - Art. 944: A redução equitativa da indenização tem caráter excepcional e somente será realizada quando a amplitude do dano extrapolar os efeitos razoavelmente imputáveis à conduta do agente. 458 - Art. 944: O grau de culpa do ofensor, ou a sua eventual conduta intencional, deve ser levado em conta pelo juiz para a quantificação do dano moral. 459 - Art. 945: A conduta da vítima pode ser fator atenuante do nexo de causalidade na responsabilidade civil objetiva. 460 - Art. 951: A responsabilidade subjetiva do profissional da área da saúde, nos termos do art. 951 do Código Civil e do art. 14, § 4º, do Código de Defesa do Consumidor, não afasta a sua responsabilidade objetiva pelo fato da coisa da qual tem a guarda, em caso de uso de aparelhos ou instrumentos que, por eventual disfunção, venham a causar danos a pacientes, sem prejuízo do direito regressivo do profissional em relação ao fornecedor do aparelho e sem prejuízo da ação direta do paciente, na condição de consumidor, contra tal fornecedor.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2026-09-10T22:09:55.374Z</dcterms:created>
  <dcterms:modified xsi:type="dcterms:W3CDTF">2026-09-10T22:09:55.374Z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