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DA JUSTIÇA FEDERAL</w:t>
      </w:r>
    </w:p>
    <w:p>
      <w:r>
        <w:rPr>
          <w:i/>
          <w:iCs/>
          <w:color w:val="666666"/>
        </w:rPr>
        <w:t xml:space="preserve">III. JORNADA DE DIREITO CIVIL</w:t>
      </w:r>
    </w:p>
    <w:p/>
    <w:p/>
    <w:p>
      <w:r>
        <w:t xml:space="preserve">04. ENUNCIADOS APROVADOS NA V JORNADA DE DIREITO CIVIL — DIREITO DE EMPRESA</w:t>
      </w:r>
    </w:p>
    <w:p/>
    <w:p>
      <w:pPr>
        <w:pStyle w:val="Heading2"/>
      </w:pPr>
      <w:r>
        <w:rPr>
          <w:b/>
          <w:bCs/>
        </w:rPr>
        <w:t xml:space="preserve">Ementa</w:t>
      </w:r>
    </w:p>
    <w:p>
      <w:r>
        <w:t xml:space="preserve">ENUNCIADOS APROVADOS NA V JORNADA DE DIREITO CIVIL DIREITO DE EMPRESA 461 - Art. 889: As duplicatas eletrônicas podem ser protestadas por indicação e constituirão título executivo extrajudicial mediante a exibição pelo credor do instrumento de protesto, acompanhado do comprovante de entrega das mercadorias ou de prestação dos serviços. 462 - Art. 889, § 3º: Os títulos de crédito podem ser emitidos, aceitos, endossados ou avalizados eletronicamente, mediante assinatura com certificação digital, respeitadas as exceções previstas em lei. 463 - Art. 897: A prescrição da pretensão executória não atinge o próprio direito material ou crédito que podem ser exercidos ou cobrados por outra via processual admitida pelo ordenamento jurídico. 464 - Art. 903: Revisão do Enunciado n. 52 - As disposições relativas aos títulos de crédito do Código Civil aplicam-se àqueles regulados por leis especiais no caso de omissão ou lacuna. 465 - Arts. 968, § 3º, e 1.033, parágrafo único: A "transformação de registro" prevista no art. 968, § 3º, e no art. 1.033, parágrafo único, do Código Civil não se confunde com a figura da transformação de pessoa jurídica. 466 - Arts. 968, IV, parte final, e 997, II: Para fins do Direito Falimentar, o local do principal estabelecimento é aquele de onde partem as decisões empresariais, e não necessariamente a sede indicada no registro público. 467 - Art. 974, § 3º: A exigência de integralização do capital social prevista no art. 974, § 3º, não se aplica à participação de incapazes em sociedades anônimas e em sociedades com sócios de responsabilidade ilimitada nas quais a integralização do capital social não influa na proteção do incapaz. 468 - Art. 980-A: A empresa individual de responsabilidade limitada só poderá ser constituída por pessoa natural. 469 - Arts. 44 e 980-A: A empresa individual de responsabilidade limitada (EIRELI) não é sociedad e, mas novo ente jurídico personificado. 470 - Art. 980-A: O patrimônio da empresa individual de responsabilidade limitada responderá pelas dívidas da pessoa jurídica, não se confundindo com o patrimônio da pessoa natural que a constitui, sem prejuízo da aplicação do instituto da desconsideração da personalidade jurídica. 471 - Os atos constitutivos da EIRELI devem ser arquivados no registro competente, para fins de aquisição de personalidade jurídica. A falta de arquivamento ou de registro de alterações dos atos constitutivos configura irregularidade superveniente. 472 - Art. 980-A: É inadequada a utilização da expressão "social" para as empresas individuais de responsabilidade limitada. 473 - Art. 980-A, § 5º: A imagem, o nome ou a voz não podem ser utilizados para a integralização do capital da EIRELI. 474 - Arts. 981 e 983: Os profissionais liberais podem organizar-se sob a forma de sociedade simples, convencionando a responsabilidade limitada dos sócios por dívidas da sociedade, a despeito da responsabilidade ilimitada por atos praticados no exercício da profissão. 475 - Arts. 981 e 983: Considerando ser da essência do contrato de sociedade a partilha do risco entre os sócios, não desfigura a sociedade simples o fato de o respectivo contrato social prever distribuição de lucros, rateio de despesas e concurso de auxiliares. 476 - Art. 982: Eventuais classificações conferidas pela lei tributária às sociedades não influem para sua caracterização como empresárias ou simples, especialmente no que se refere ao registro dos atos constitutivos e à submissão ou não aos dispositivos da Lei n. 11.101/2005. 477 - Art. 983: O art. 983 do Código Civil permite que a sociedade simples opte por um dos tipos empresariais dos arts. 1.039 a 1.092 do Código Civil. Adotada a forma de sociedade anônima ou de comandita por ações, porém ela será considerada empresária. 478 - Art. 997, ca put e inc. III: A integralização do capital social em bens imóveis pode ser feita por instrumento particular de contrato social ou de alteração contratual, ainda que se trate de sociedade sujeita ao registro exclusivamente no registro civil de pessoas jurídicas. 479 - Art. 997, VII: Na sociedade simples pura (art. 983, parte final, do CC/2002), a responsabilidade dos sócios depende de previsão contratual. Em caso de omissão, será ilimitada e subsidiária, conforme o disposto nos arts. 1.023 e 1.024 do CC/2002. 480 - Art. 1.029: Revogado o Enunciado n. 390 da III Jornada "Em regra, é livre a retirada de sócio nas sociedades limitadas e anônimas fechadas, por prazo indeterminado, desde que tenham integraliz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2026-06-17T16:59:42.521Z</dcterms:created>
  <dcterms:modified xsi:type="dcterms:W3CDTF">2026-06-17T16:59:42.521Z</dcterms:modified>
</cp:coreProperties>
</file>

<file path=docProps/custom.xml><?xml version="1.0" encoding="utf-8"?>
<Properties xmlns="http://schemas.openxmlformats.org/officeDocument/2006/custom-properties" xmlns:vt="http://schemas.openxmlformats.org/officeDocument/2006/docPropsVTypes"/>
</file>