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DA JUSTIÇA FEDERAL</w:t>
      </w:r>
    </w:p>
    <w:p>
      <w:r>
        <w:rPr>
          <w:i/>
          <w:iCs/>
          <w:color w:val="666666"/>
        </w:rPr>
        <w:t xml:space="preserve">III. JORNADA DE DIREITO CIVIL</w:t>
      </w:r>
    </w:p>
    <w:p/>
    <w:p/>
    <w:p>
      <w:r>
        <w:t xml:space="preserve">05. ENUNCIADOS APROVADOS NA V JORNADA DE DIREITO CIVIL — DIREITO DAS COISAS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APROVADOS NA V JORNADA DE DIREITO CIVIL DIREITO DAS COISAS 492 - A posse constitui direito autônomo em relação à propriedade e deve expressar o aproveitamento dos bens para o alcance de interesses existenciais, econômicos e sociais merecedores de tutela. 493 - O detentor (art. 1.198 do Código Civil) pode, no interesse do possuidor, exercer a autodefesa do bem sob seu poder. 494 - A faculdade conferida ao sucessor singular de somar ou não o tempo da posse de seu antecessor não significa que, ao optar por nova contagem, estará livre do vício objetivo que maculava a posse anterior. 495 - No desforço possessório, a expressão "contanto que o faça logo" deve ser entendida restritivamente, apenas como a reação imediata ao fato do esbulho ou da turbação, cabendo ao possuidor recorrer à via jurisdicional nas demais hipóteses. 496 - O conteúdo do art. 1.228, §§ 4º e 5º, pode ser objeto de ação autônoma, não se restringindo à defesa em pretensões reivindicatórias. 497 - O prazo, na ação de usucapião, pode ser completado no curso do processo, ressalvadas as hipóteses de má-fé processual do autor. 498 - A fluência do prazo de 2 (dois) anos previsto pelo art. 1.240-A para a nova modalidade de usucapião nele contemplada tem início com a entrada em vigor da Lei n. 12.424/2011. 499 - A aquisição da propriedade na modalidade de usucapião prevista no art. 1.240-A do Código Civil só pode ocorrer em virtude de implemento de seus pressupostos anteriormente ao divórcio. O requisito "abandono do lar" deve ser interpretado de maneira cautelosa, mediante a verificação de que o afastamento do lar conjugal representa descumprimento simultâneo de outros deveres conjugais, tais como assistência material e sustento do lar, onerando desigualmente aquele que se manteve na residência familiar e que se responsabiliza unilateralmente pelas despesas oriundas da manutenção da família e do próprio imóvel, o que justifica a perda da propriedade e a alteração do regime de bens quanto ao imóvel objeto de usucapião. 500 - A modalidade de usucapião prevista no art. 1.240-A do Código Civil pressupõe a propriedade comum do casal e compreende todas as formas de família ou entidades familiares, inclusive homoafetivas. 501 - As expressões "ex-cônjuge" e "ex-companheiro", contidas no art. 1.240-A do Código Civil, correspondem à situação fática da separação, independentemente de divórcio. 502 - O conceito de posse direta referido no art. 1.240-A do Código Civil não coincide com a acepção empregada no art. 1.197 do mesmo Código. 503 - É relativa a presunção de propriedade decorrente do registro imobiliário, ressalvado o sistema Torrens. 504 - A escritura declaratória de instituição e convenção firmada pelo titular único de edificação composta por unidades autônomas é título hábil para registro da propriedade horizontal no competente registro de imóveis, nos termos dos arts. 1.332 a 1.334 do Código Civil. 505 - É nula a estipulação que, dissimulando ou embutindo multa acima de 2%, confere suposto desconto de pontualidade no pagamento da taxa condominial, pois configura fraude à lei (Código Civil, art. 1336, § 1º), e não redução por merecimento. 506 - Estando em curso contrato de alienação fiduciária, é possível a constituição concomitante de nova garantia fiduciária sobre o mesmo bem imóvel, que, entretanto, incidirá sobre a respectiva propriedade superveniente que o fiduciante vier a readquirir, quando do implemento da condição a que estiver subordinada a primeira garantia fiduciária; a nova garantia poderá ser registrada na data em que convencionada e será eficaz desde a data do registro, produzindo efeito ex tunc. 507 - Na aplicação do princípio da função social da propriedade imobiliária rural, deve ser observada a cláusula aberta do § 1º do art. 1.228 do Código Civil, que , em consonância com o disposto no art. 5º, inc. XXIII, da Constituição de 1988, permite melhor objetivar a funcionalização mediante critérios de valoração centrados na primazia do trabalho. 508 - Verificando-se que a sanção pecuniária mostrou-se ineficaz, a garantia fundamental da função social da propriedade (arts. 5º, XXIII, da CRFB e 1.228, § 1º, do CC) e a vedação ao abuso do direito (arts. 187 e 1.228, § 2º, do CC) justificam a exclusão do condômino antissocial, desde que a ulterior assembleia prevista na parte final do parágrafo único do art. 1.337 do Código Civil delibere a propositura de ação judicial com esse fim, asseguradas todas as garantias inerentes ao devido processo le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2026-10-26T02:40:55.649Z</dcterms:created>
  <dcterms:modified xsi:type="dcterms:W3CDTF">2026-10-26T02:40:55.649Z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