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DA JUSTIÇA FEDERAL</w:t>
      </w:r>
    </w:p>
    <w:p>
      <w:r>
        <w:rPr>
          <w:i/>
          <w:iCs/>
          <w:color w:val="666666"/>
        </w:rPr>
        <w:t xml:space="preserve">III. JORNADA DE DIREITO CIVIL</w:t>
      </w:r>
    </w:p>
    <w:p/>
    <w:p/>
    <w:p>
      <w:r>
        <w:t xml:space="preserve">05. ENUNCIADOS APROVADOS NA V JORNADA DE DIREITO CIVIL — DIREITO DAS COISAS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ENUNCIADOS APROVADOS NA V JORNADA DE DIREITO CIVIL DIREITO DAS COISAS 492 - A posse constitui direito autônomo em relação à propriedade e deve expressar o aproveitamento dos bens para o alcance de interesses existenciais, econômicos e sociais merecedores de tutela. 493 - O detentor (art. 1.198 do Código Civil) pode, no interesse do possuidor, exercer a autodefesa do bem sob seu poder. 494 - A faculdade conferida ao sucessor singular de somar ou não o tempo da posse de seu antecessor não significa que, ao optar por nova contagem, estará livre do vício objetivo que maculava a posse anterior. 495 - No desforço possessório, a expressão "contanto que o faça logo" deve ser entendida restritivamente, apenas como a reação imediata ao fato do esbulho ou da turbação, cabendo ao possuidor recorrer à via jurisdicional nas demais hipóteses. 496 - O conteúdo do art. 1.228, §§ 4º e 5º, pode ser objeto de ação autônoma, não se restringindo à defesa em pretensões reivindicatórias. 497 - O prazo, na ação de usucapião, pode ser completado no curso do processo, ressalvadas as hipóteses de má-fé processual do autor. 498 - A fluência do prazo de 2 (dois) anos previsto pelo art. 1.240-A para a nova modalidade de usucapião nele contemplada tem início com a entrada em vigor da Lei n. 12.424/2011. 499 - A aquisição da propriedade na modalidade de usucapião prevista no art. 1.240-A do Código Civil só pode ocorrer em virtude de implemento de seus pressupostos anteriormente ao divórcio. O requisito "abandono do lar" deve ser interpretado de maneira cautelosa, mediante a verificação de que o afastamento do lar conjugal representa descumprimento simultâneo de outros deveres conjugais, tais como assistência material e sustento do lar, onerando desigualmente aquele que se manteve na residência familiar e que se responsabiliza unilateralmente pelas despesas oriundas da manutenção da família e do próprio imóvel, o que justifica a perda da propriedade e a alteração do regime de bens quanto ao imóvel objeto de usucapião. 500 - A modalidade de usucapião prevista no art. 1.240-A do Código Civil pressupõe a propriedade comum do casal e compreende todas as formas de família ou entidades familiares, inclusive homoafetivas. 501 - As expressões "ex-cônjuge" e "ex-companheiro", contidas no art. 1.240-A do Código Civil, correspondem à situação fática da separação, independentemente de divórcio. 502 - O conceito de posse direta referido no art. 1.240-A do Código Civil não coincide com a acepção empregada no art. 1.197 do mesmo Código. 503 - É relativa a presunção de propriedade decorrente do registro imobiliário, ressalvado o sistema Torrens. 504 - A escritura declaratória de instituição e convenção firmada pelo titular único de edificação composta por unidades autônomas é título hábil para registro da propriedade horizontal no competente registro de imóveis, nos termos dos arts. 1.332 a 1.334 do Código Civil. 505 - É nula a estipulação que, dissimulando ou embutindo multa acima de 2%, confere suposto desconto de pontualidade no pagamento da taxa condominial, pois configura fraude à lei (Código Civil, art. 1336, § 1º), e não redução por merecimento. 506 - Estando em curso contrato de alienação fiduciária, é possível a constituição concomitante de nova garantia fiduciária sobre o mesmo bem imóvel, que, entretanto, incidirá sobre a respectiva propriedade superveniente que o fiduciante vier a readquirir, quando do implemento da condição a que estiver subordinada a primeira garantia fiduciária; a nova garantia poderá ser registrada na data em que convencionada e será eficaz desde a data do registro, produzindo efeito ex tunc. 507 - Na aplicação do princípio da função social da propriedade imobiliária rural, deve ser observada a cláusula aberta do § 1º do art. 1.228 do Código Civil, que , em consonância com o disposto no art. 5º, inc. XXIII, da Constituição de 1988, permite melhor objetivar a funcionalização mediante critérios de valoração centrados na primazia do trabalho. 508 - Verificando-se que a sanção pecuniária mostrou-se ineficaz, a garantia fundamental da função social da propriedade (arts. 5º, XXIII, da CRFB e 1.228, § 1º, do CC) e a vedação ao abuso do direito (arts. 187 e 1.228, § 2º, do CC) justificam a exclusão do condômino antissocial, desde que a ulterior assembleia prevista na parte final do parágrafo único do art. 1.337 do Código Civil delibere a propositura de ação judicial com esse fim, asseguradas todas as garantias inerentes ao devido processo le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2026-06-17T16:56:05.404Z</dcterms:created>
  <dcterms:modified xsi:type="dcterms:W3CDTF">2026-06-17T16:56:05.404Z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