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DA JUSTIÇA FEDERAL</w:t>
      </w:r>
    </w:p>
    <w:p>
      <w:r>
        <w:rPr>
          <w:i/>
          <w:iCs/>
          <w:color w:val="666666"/>
        </w:rPr>
        <w:t xml:space="preserve">III. JORNADA DE DIREITO CIVIL</w:t>
      </w:r>
    </w:p>
    <w:p/>
    <w:p/>
    <w:p>
      <w:r>
        <w:t xml:space="preserve">CONTRATOS DE CONSTRUÇÃO AJUSTADA — ART 4º DA LEI 8.245/91 - ALTERA - ART.54-A - ACRESCENTA</w:t>
      </w:r>
    </w:p>
    <w:p/>
    <w:p>
      <w:pPr>
        <w:pStyle w:val="Heading2"/>
      </w:pPr>
      <w:r>
        <w:rPr>
          <w:b/>
          <w:bCs/>
        </w:rPr>
        <w:t xml:space="preserve">Ementa</w:t>
      </w:r>
    </w:p>
    <w:p>
      <w:r>
        <w:t xml:space="preserve">LEI Nº 12.744, DE 19 DE DEZEMBRO DE 2012 Altera o art. 4º e acrescenta art. 54-A à Lei nº 8.245, de 18 de outubro de 1991, que "dispõe sobre as locações dos imóveis urbanos e os procedimentos a elas pertinentes", para dispor sobre a locação nos contratos de construção ajustada. A PRESIDENTA DA REPÚBLICA Faço saber que o Congresso Nacional decreta e eu sanciono a seguinte Lei: Art. 1º Esta Lei altera o art. 4º e acrescenta art. 54-A à Lei nº 8.245, de 18 de outubro de 1991, que "dispõe sobre as locações dos imóveis urbanos e os procedimentos a elas pertinentes", para dispor sobre a locação nos contratos de construção ajustada. Art. 2º O caput do art. 4º da Lei nº 8.245, de 1991, passa a vigorar com a seguinte redação: "Art. 4º Durante o prazo estipulado para a duração do contrato, não poderá o locador reaver o imóvel alugado. Com exceção ao que estipula o § 2º do art. 54-A, o locatário, todavia, poderá devolvê-lo, pagando a multa pactuada, proporcional ao período de cumprimento do contrato, ou, na sua falta, a que for judicialmente estipulada. ....................." (NR) Art. 3º A Lei nº 8.245, de 1991, passa a vigorar acrescida do seguinte art. 54-A: "Art. 54-A. Na locação não residencial de imóvel urbano na qual o locador procede à prévia aquisição, construção ou substancial reforma, por si mesmo ou por terceiros, do imóvel então especificado pelo pretendente à locação, a fim de que seja a este locado por prazo determinado, prevalecerão as condições livremente pactuadas no contrato respectivo e as disposições procedimentais previstas nesta Lei. § 1º Poderá ser convencionada a renúncia ao direito de revisão do valor dos aluguéis durante o prazo de vigência do contrato de locação. § 2º Em caso de denúncia antecipada do vínculo locatício pelo locatário, compromete-se este a cumprir a multa convencionada, que não excederá, porém, a soma dos valores dos aluguéis a receber até o termo final d a locação. § 3º (VETADO)." Art. 4º Esta Lei entra em vigor na data de sua publicação. Brasília, 19 de dezembro de 2012; 191º da Independência e 124º da República. DILMA ROUSSEFF José Eduardo Cardozo LEI Nº 12.760, DE 20 DE DEZEMBRO DE 2012 Altera a Lei nº 9.503, de 23 de setembro de 1997, que institui o Código de Trânsito Brasileiro. A PRESIDENTA DA REPÚBLICA Faço saber que o Congresso Nacional decreta e eu sanciono a seguinte Lei: Art. 1º Os arts. 165, 262, 276, 277 e 306 da Lei nº 9.503, de 23 de setembro de 1997, passam a vigorar com as seguintes alterações: "Art. 165. ................ ................................. Penalidade - multa (dez vezes) e suspensão do direito de dirigir por 12 (doze) meses. Medida administrativa - recolhimento do documento de habilitação e retenção do veículo, observado o disposto no § 4º do art. 270 da Lei nº 9.503, de 23 de setembro de 1997 - do Código de Trânsito Brasileiro. Parágrafo único. Aplica-se em dobro a multa prevista no caput em caso de reincidência no período de até 12 (doze) meses."(NR) "Art. 262. ................ ................................. § 5º O recolhimento ao depósito, bem como a sua manutenção, ocorrerá por serviço público executado diretamente ou contratado por licitação pública pelo critério de menor preço."(NR) "Art. 276. Qualquer concentração de álcool por litro de sangue ou por litro de ar alveolar sujeita o condutor às penalidades previstas no art. 165. Parágrafo único. O Contran disciplinará as margens de tolerância quando a infração for apurada por meio de aparelho de medição, observada a legislação metrológica."(NR) "Art. 277. O condutor de veículo automotor envolvido em acidente de trânsito ou que for alvo de fiscalização de trânsito poderá ser submetido a teste, exame clínico, perícia ou outro procedimento que, por meios técnicos ou científicos, na forma disciplinada pelo Contran, permita certificar influência de álcool ou outra substância psicoativa que determine dependência. § 1º (Revogado). § 2º A infração prevista no art. 165 também poderá ser caracterizada mediante imagem, vídeo, constatação de sinais que indiq uem, na forma disciplinada pelo Contran, alteração da capacidade psicomotora ou produção de quaisquer outras provas em direito admitidas. ......................" (NR) "Art. 306. Conduzir veículo automotor com capacidade psicomotora alterada em razão da influência de álcool ou de outra substância psicoativa que determine dependência: .................................. § 1º As condutas previstas no caput serão constatadas por: I - concentração igual ou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2026-06-17T16:46:32.872Z</dcterms:created>
  <dcterms:modified xsi:type="dcterms:W3CDTF">2026-06-17T16:46:32.872Z</dcterms:modified>
</cp:coreProperties>
</file>

<file path=docProps/custom.xml><?xml version="1.0" encoding="utf-8"?>
<Properties xmlns="http://schemas.openxmlformats.org/officeDocument/2006/custom-properties" xmlns:vt="http://schemas.openxmlformats.org/officeDocument/2006/docPropsVTypes"/>
</file>