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RECONHECIMENTO DE PATERNIDADE</w:t>
      </w:r>
    </w:p>
    <w:p>
      <w:r>
        <w:rPr>
          <w:i/>
          <w:iCs/>
          <w:color w:val="666666"/>
        </w:rPr>
        <w:t xml:space="preserve">MENOR RELATIVAMENTE INCAPAZ</w:t>
      </w:r>
    </w:p>
    <w:p/>
    <w:p>
      <w:r>
        <w:rPr>
          <w:b/>
          <w:bCs/>
        </w:rPr>
        <w:t xml:space="preserve">Recurso: </w:t>
      </w:r>
      <w:r>
        <w:t xml:space="preserve">Recurso Especial 646.259</w:t>
      </w:r>
    </w:p>
    <w:p>
      <w:r>
        <w:rPr>
          <w:b/>
          <w:bCs/>
        </w:rPr>
        <w:t xml:space="preserve">Tribunal: </w:t>
      </w:r>
      <w:r>
        <w:t xml:space="preserve">STJ</w:t>
      </w:r>
    </w:p>
    <w:p/>
    <w:p>
      <w:r>
        <w:t xml:space="preserve">OBRIGATORIEDADE — INSTITUTO MENOR - DISCREPÂNCIA - INTERPRETAÇÃO DA SÚMULA - ESFORÇO PRESUMIDO - ALCANCE DA CAUTELA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UNIÃO ESTÁVEL E A SEPARAÇÃO OBRIGATÓRIA DE BENS Quando um casal desenvolve uma relação afetiva contínua e duradoura, conhecida publicamente e estabelece a vontade de constituir uma família, essa relação pode ser reconhecida como união estável, de acordo com o Código Civil de 2002 (CC/02). Esse instituto também é legitimado pela Constituição Federal de 1988 em seu artigo 226, parágrafo 3o. Por ser uma união que em muito se assemelha ao casamento, a jurisprudência do Superior Tribunal de Justiça (STJ) tem aplicado às uniões estáveis, por extensão, alguns direitos previstos para o vínculo conjugal do casamento. Na união estável, o regime de bens a ser seguido pelo casal, assim como no casamento, vai dispor sobre a comunicação do patrimônio dos companheiros durante a relação e também ao término dela, na hipótese de dissolução do vínculo pela separação ou pela morte de um dos parceiros. Dessa forma, há reflexos na partilha e na sucessão dos bens, ou seja, na transmissão da herança. O artigo 1.725 do CC/02 estabelece que o regime a ser aplicado às relações patrimoniais do casal em união estável é o de comunhão parcial dos bens, salvo contrato escrito entre companheiros. Mas o que acontece no caso de um casal que adquire união estável quando um dos companheiros já possui idade superior a setenta anos? É justamente em virtude desse dispositivo que vários recursos chegam ao STJ, para que os ministros estabeleçam teses, divulguem o pensamento e a jurisprudência dessa Corte sobre o tema da separação obrigatória de bens e se esse instituto pode ou não ser estendido à união estável. Antes de conhecer alguns casos julgados no Tribunal, é válido lembrar que o direito de família brasileiro estabeleceu as seguintes possibilidades de regime de comunicação dos bens: comunhão parcial, comunhão universal, separação obrigatória, separação voluntária e ainda participação final nos aquestos (bens adquiridos na vigên cia do casamento). OBRIGATORIEDADE A obrigatoriedade da separação de bens foi tratada pelo Código Civil de 1916 (CC/16) em seu artigo 258, parágrafo único, inciso II. No novo código, o assunto é tratado no artigo 1.641. Para o regramento, o regime da separação de bens é obrigatório no casamento das pessoas que o contraírem com inobservância das causas suspensivas da celebração do casamento; da pessoa maior de 70 anos, (redação dada pela Lei 12.344 de dezembro de 2010. Antes dessa data a redação era a seguinte: do maior de sessenta e da maior de cinquenta anos) e de todos os que dependerem, para casar, de suprimento judicial. No Recurso Especial 646.259, o ministro LUIS FELIPE SALOMÃO, relator do recurso, entendeu que, para a união estável, à semelhança do que ocorre com o casamento, é obrigatório o regime de separação de bens de companheiro com idade superior a sessenta (60) anos. O recurso foi julgado em 2010, meses antes da alteração da redação do dispositivo que aumentou para setenta (70) o limite de idade dos cônjuges para ser estabelecido o regime de separação obrigatória. Com o falecimento do companheiro, que iniciou a união estável quando já contava com 64 anos, sua companheira pediu em juízo a meação dos bens. O juízo de primeiro grau afirmou que o regime aplicável no caso é o da separação obrigatória de bens e concedeu a ela apenas a partilha dos bens adquiridos durante a união estável, mediante comprovação do esforço comum. Inconformada com a decisão, a companheira interpôs recurso no Tribunal de Justiça do Rio Grande do Sul (TJRS). O TJRS reformou a decisão do primeiro grau e deu provimento ao recurso. Afirmou que não se aplica a` união estável o regime da separação obrigatória de bens previsto no artigo 258, parágrafo único, inciso II, do CC/16, "porque descabe a aplicação analógica de normas restritivas de direitos ou excepcionantes. E, ainda que se entendesse aplicável ao caso o regime da separ ação legal de bens, forçosa seria a aplicação da súmula 377 do Supremo Tribunal Federal (STF), que igualmente contempla a presunção do esforço comum na aquisição do patrimônio amealhado na constância da união". O espólio do companheiro apresentou recurso especial no STJ alegando ofensa ao artigo mencionado do CC/16 e argumentou que se aplicaria às uniões estáveis o regime obrigatório de separação de bens, quando um dos conviventes fosse sexagenário, como no caso. INSTITUTO MENOR Para o ministro LUIS FELIPE SALOMÃO, a partir da leitura conjunta das normas aplicáveis ao caso, especialmente do artigo 226, parágrafo 3o, da Const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2026-09-10T22:14:58.210Z</dcterms:created>
  <dcterms:modified xsi:type="dcterms:W3CDTF">2026-09-10T22:14:58.210Z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