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/>
    <w:p>
      <w:r>
        <w:t xml:space="preserve">ARTS. 2º, 32 E 33 DA LEI 10.257/2001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12.836, DE 02 DE JULHO DE 2013 Altera os arts. 2º, 32 e 33 da Lei nº 10.257, de 10 de julho de 2001 - Estatuto da Cidade. A PRESIDENTA DA REPÚBLICA Faço saber que o Congresso Nacional decreta e eu sanciono a seguinte Lei: Art. 1º Os arts. 2º, 32 e 33 da Lei nº 10.257, de 10 de julho de 2001, passam a vigorar com as seguintes alterações: "Art. 2º .................. ................................ XVII - estímulo à utilização, nos parcelamentos do solo e nas edificações urbanas, de sistemas operacionais, padrões construtivos e aportes tecnológicos que objetivem a redução de impactos ambientais e a economia de recursos naturais." (NR) "Art. 32. ................. ................................ § 2º ...................... ............................... III - a concessão de incentivos a operações urbanas que utilizam tecnologias visando a redução de impactos ambientais, e que comprovem a utilização, nas construções e uso de edificações urbanas, de tecnologias que reduzam os impactos ambientais e economizem recursos naturais, especificadas as modalidades de design e de obras a serem contempladas." (NR) "Art. 33. .................. ................................. VI - contrapartida a ser exigida dos proprietários, usuários permanentes e investidores privados em função da utilização dos benefícios previstos nos incisos I, II e III do § 2º do art. 32 desta Lei; .................................. VIII - natureza dos incentivos a serem concedidos aos proprietários, usuários permanentes e investidores privados, uma vez atendido o disposto no inciso III do § 2º do art. 32 desta Lei. ....................." (NR) Art. 2º Esta Lei entra em vigor na data de sua publicação. Brasília, 2 de julho de 2013; 192º da Independência e 125º da República. DILMA ROUSSEFF Aguinaldo Ribeiro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2026-07-28T01:53:28.776Z</dcterms:created>
  <dcterms:modified xsi:type="dcterms:W3CDTF">2026-07-28T01:53:28.776Z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