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2.923-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FIGUEIREDO</w:t>
      </w:r>
    </w:p>
    <w:p/>
    <w:p>
      <w:r>
        <w:t xml:space="preserve">IMÓVEL ALIENADO A TERCEIRO — EX-TITULARES - CARÊNCIA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excelentes julgados publicados na RT nº 527/107 e RF 271/150, proclamou-se que o fato ou direito superveniente - constitutivo, extintivo ou modificativo - deve ser pelo Juiz levado em estima, "de conformidade com os artigos 303-I e 462 do CPC", pois o estado de fato no momento da decisão "nada mais é do que o resultado da incidência deste" (estado de fato superveniente). - E ainda, o Superior Tribunal de Justiça propalou: "Ocorrendo fato superveniente ao ajuizamento da causa, influenciador do julgamento, cabe ao juiz tomá-lo em consideração ao decidir (CPC, artigo 462)". (STJ - 4ª Turma, REsp 2.923-PR., Rel. Min. SÁLVIO FIGUEIREDO, j. 12-3-1991, deram provimento, V.U., DJU 8-4-1991, pág. 3.889, 2ª Col. em.). - Como lembra o ilustre Professor MOACYR AMARAL SANTOS existem dois requisitos para o juiz tomar em consideração o fato superveniente: "1º, que tenham ocorrido depois da propositura da ação, 2º, que influam no julgamento da lide, isto é, que a lei material diga que o fato novo constituiu, modificou ou extinguiu o direito controvertido." ("Comentários ao Código de Processo Civil", Vol. IV, Arts. 332 a 475, 4ª edição, atualizada, Forense, 1986, Autor citado, pág. 417). - Acrescenta que: "O juiz, de ofício tomará em consideração tais fatos". (obra citada - grifos meus). - Ora, a alienação sem ressalva da propriedade imóvel, por parte dos Autores, é fato superveniente que extinguiu o direito de propriedade do qual eram eles titulares, devendo esta circunstância ser levada em cons ideração, por determinação expressa do texto normativo processual. - Evidente restou, portanto, que a área atingida pela rodovia estadual, transferiu-se para o domínio e propriedade de terceiros, deixando, deste modo, de ser propriedade dos autores. - Só o título do domínio está habilitado a pleitear o pagamento da justa indenização pelo desapossamento e perda da propriedade imobiliária ocasionados por ato da Administração Pública. - Se os autores não mais possuem a propriedade da área desapropriada, claro é que não podem eles, ex-titulares do imóvel ocupado, pleitear indenização de propriedade que não mais lhes pertence, sendo partes processuais ativas ilegítimas "ad causam". - E como já proclamou esta Primeira Câmara Cível: "Inexistente o direito de pleitear qualquer indenização sobre a servidão instituída em área do Poder Público, não há a causa de pedir e esvaziar-se a pretensão da inicial, impondo-se-lhes a decretação de carecedores da ação. (Ap. Cível nº 978/89, Rel. Des. OTO SPONHOLZ, unânime). Ac. de 06-10-1992 Arquivo do EMFOR - TJ/2.342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após terem ajuizado a ação denominada de indenização por desapropriação indireta, os proprietários do imóvel por escritura pública de compra e venda transferem-no a terceiros, sem qualquer ressalva, perdem o domínio sobre a propriedade e também a legitimidade ativa para pleitear a indenização do Poder Público pela indevida ocupação da área que não mais lhes pertence.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2026-10-26T03:22:52.175Z</dcterms:created>
  <dcterms:modified xsi:type="dcterms:W3CDTF">2026-10-26T03:22:52.175Z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