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/>
    <w:p>
      <w:r>
        <w:t xml:space="preserve">01. IMPOSTOS IRPJ, CSLL, PIS/PASEP, COFINS, — ALTERA - REGIME TRIBUTÁRIO DE TRANSIÇÃO - RTT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627, DE 11 DE NOVEMBRO DE 2013 Altera a legislação tributária federal relativa ao Imposto sobre a Renda das Pessoas Jurídicas - IRPJ, à Contribuição Social sobre o Lucro Líquido - CSLL, à Contribuição para o PIS/PASEP e à Contribuição para o Financiamento da Seguridade Social - COFINS; revoga o Regime Tributário de Transição - RTT, instituído pela Lei nº 11.941, de 27 de maio de 2009; dispõe sobre a tributação da pessoa jurídica domiciliada no Brasil, com relação ao acréscimo patrimonial decorrente de participação em lucros auferidos no exterior por controladas e coligadas e de lucros auferidos por pessoa física residente no Brasil por intermédio de pessoa jurídica controlada no exterior; e dá outras providências. A PRESIDENTA DA REPÚBLICA, no uso da atribuição que lhe confere o art. 62 da Constituição, adota a seguinte Medida Provisória, com força de lei: Art. 1º O Imposto sobre a Renda das Pessoas Jurídicas - IRPJ, a Contribuição Social sobre o Lucro Líquido - CSLL, a Contribuição para o PIS/PASEP e a Contribuição para o Financiamento da Seguridade Social - COFINS serão determinados segundo as normas da legislação vigente, com as alterações desta Medida Provisória. CAPÍTULO I DO IMPOSTO SOBRE A RENDA DAS PESSOAS JURÍDICAS E DA CONTRIBUIÇÃO SOCIAL SOBRE O LUCRO LÍQUIDO Art. 2º O Decreto-Lei nº 1.598, de 26 de dezembro de 1977, passa a vigorar com as seguintes alterações: "Art. 7º ................... .................................. § 6º A escrituração prevista neste artigo deverá ser entregue em meio digital ao Sistema Público de Escrituração Digital - Sped." (NR) "Art. 8º .................... I - de apuração do lucro real, que será entregue em meio digital e no qual: ................................. b) será transcrita a demonstração do lucro real e a apuração do Imposto sobre a Renda; ................................. § 1º Completada a ocorrência de cada fato gerador do imposto, o contribuinte deverá elaborar o livro de que trata o inciso I do caput, de forma integrada às escriturações comercial e fiscal, que discriminará: ................................ b) os registros de ajuste do lucro líquido, com identificação das contas analíticas do plano de contas e indicação discriminada por lançamento correspondente na escrituração comercial, quando presentes; ................................. d) a apuração do Imposto sobre a Renda devido, com a discriminação das deduções quando aplicáveis; e e) demais informações econômico-fiscais da pessoa jurídica. .................................. § 3º O disposto neste artigo será disciplinado em ato normativo da Secretaria da Receita Federal do Brasil. § 4º Para fins do disposto na alínea "b" do § 1º, considera-se conta analítica aquela que registra em último nível os lançamentos contábeis." (NR) "Art. 8º-A. O sujeito passivo que deixar de apresentar o livro de que trata o inciso I do caput do art. 8º, nos prazos fixados no ato normativo a que se refere o seu § 3º, ou que o apresentar com inexatidões, incorreções ou omissões, fica sujeito às seguintes multas: I - equivalente a 0,025% (vinte e cinco milésimos por cento), por mês-calendário ou fração, da receita bruta da pessoa jurídica no período a que se refere a apuração, limitada a um por cento, relativamente às pessoas jurídicas que deixarem de apresentar ou apresentarem em atraso o livro; e II - cinco por cento, não inferior a R$ 500,00 (quinhentos reais), do valor omitido, inexato ou incorreto. § 1º A multa de que trata o inciso I do caput será reduzida: I - à metade, quando o livro for apresentado depois do prazo, mas antes de qualquer procedimento de ofício; e II - em vinte e cinco por cento, se houver a apresentação do livro no prazo fixado em intimação. § 2º A multa de que trata o inciso II do caput: I - não será devida se o sujeito passivo corrigir as inexatidões, incorreções ou omissões antes de in iciado qualquer procedimento de ofício; e II - será reduzida em vinte e cinco por cento, se forem corrigidas as inexatidões, incorreções ou omissões no prazo fixado em intimação. § 3º Quando não houver receita bruta informada no período de apuração a que se refere a escrituração, deverá ser utilizada a receita bruta do último período de apuração informado, atualizada pela taxa Selic até o termo final de encerramento do período a que se refere a escrituração. § 4º A multa prevista no inciso I do caput não poderá ser inferior à R$ 5.000,00 (cinco mil reais), por mês-calendário ou fração. § 5º Sem prejuízo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2026-07-27T23:57:38.275Z</dcterms:created>
  <dcterms:modified xsi:type="dcterms:W3CDTF">2026-07-27T23:57:38.275Z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