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DECRETO-LEI 1.870 DE 06-05-1981</w:t>
      </w:r>
    </w:p>
    <w:p/>
    <w:p/>
    <w:p>
      <w:r>
        <w:t xml:space="preserve">04. IMPOSTOS IRPJ, CSLL, PIS/PASEP, COFINS, — ALTERA - REGIME TRIBUTÁRIO DE TRANSIÇÃO - RTT - REVOGA</w:t>
      </w:r>
    </w:p>
    <w:p/>
    <w:p>
      <w:pPr>
        <w:pStyle w:val="Heading2"/>
      </w:pPr>
      <w:r>
        <w:rPr>
          <w:b/>
          <w:bCs/>
        </w:rPr>
        <w:t xml:space="preserve">Ementa</w:t>
      </w:r>
    </w:p>
    <w:p>
      <w:r>
        <w:t xml:space="preserve">Amortização do Intangível Art. 39. A amortização de direitos classificados no ativo não circulante intangível é considerada dedutível na determinação do lucro real, observado o disposto no inciso III do caput do art. 13 da Lei nº 9.249, de 1995. Art. 40. Poderão ser excluídos, para fins de apuração do lucro real, os gastos com desenvolvimento de inovação tecnológica referidos no inciso I do caput e no § 2º do art. 17 da Lei nº 11.196, de 2005, quando registrados no ativo não circulante intangível, no período de apuração em que forem incorridos e observado o disposto nos arts. 22 a 24 da referida Lei. Parágrafo único. O contribuinte que utilizar o benefício referido no caput deverá adicionar ao lucro líquido, para fins de apuração do lucro real, o valor da realização do ativo intangível, inclusive por amortização, alienação ou baixa. Prejuízos Não Operacionais Art. 41. Os prejuízos decorrentes da alienação de bens e direitos do ativo imobilizado, investimento e intangível, ainda que reclassificados para o ativo circulante com intenção de venda, poderão ser compensados somente com lucros de mesma natureza, observado o limite previsto no art. 15 da Lei nº 9.065, de 20 de junho de 1995. Parágrafo único. O disposto no caput não se aplica em relação às perdas decorrentes de baixa de bens ou direitos em virtude de terem se tornado imprestáveis, obsoletos ou caído em desuso, ainda que posteriormente venham a ser alienados como sucata. Contrato de Concessão - Lucro Presumido Art. 42. No caso de contratos de concessão de serviços públicos, a receita reconhecida pela construção, recuperação, reforma, ampliação ou melhoramento da infraestrutura, cuja contrapartida seja ativo intangível representativo de direito de exploração, não integrará a base de cálculo do imposto sobre a renda, quando se tratar de imposto sobre a renda apurado com base no lucro presumido ou arbitrado. Parágrafo único. O ganho de capital na alienação do ativo intangível a que se refere o caput corresponderá à diferença positiva entre o valor da alienação e o valor dos custos incorridos na sua obtenção, deduzido da correspondente amortização. Custos estimados de Desmontagens Art. 43. Os gastos de desmontagem e retirada de item de ativo imobilizado ou restauração do local em que está situado somente serão dedutíveis quando efetivamente incorridos. § 1º Caso constitua provisão para gastos de desmontagem e retirada de item de ativo imobilizado ou restauração do local em que está situado, a pessoa jurídica deverá proceder ao ajuste no lucro líquido para fins de apuração do lucro real, no período de apuração em que o imobilizado for realizado, inclusive por depreciação, amortização, exaustão, alienação ou baixa. § 2º Eventuais efeitos contabilizados no resultado, provenientes de ajustes na provisão de que trata o § 1º ou de atualização de seu valor, não serão computados na determinação do lucro real. Arrendamento Mercantil Art. 44. Na hipótese de operações de arrendamento mercantil que não estejam sujeitas ao tratamento tributário previsto pela Lei nº 6.099, de 12 de setembro de 1974, as pessoas jurídicas arrendadoras deverão reconhecer, para fins de apuração do lucro real, o resultado relativo à operação de arrendamento mercantil proporcionalmente ao valor de cada contraprestação durante o período de vigência do contrato. § 1º A pessoa jurídica deverá proceder, caso seja necessário, aos ajustes ao lucro líquido para fins de apuração do lucro real, no livro de que trata o inciso I do caput do art. 8º do Decreto-lei nº 1.598, de 1977. § 2º O disposto neste artigo se aplica somente às operações de arrendamento mercantil em que há transferência substancial dos riscos e benefícios inerentes à propriedade do ativo. § 3º Para efeitos do disposto neste artigo entende-se por result ado a diferença entre o valor do contrato de arrendamento e somatório dos custos diretos iniciais e o custo de aquisição ou construção dos bens arrendados. § 4º Na hipótese de a pessoa jurídica de que trata o caput ser tributada pelo lucro presumido ou arbitrado, o valor da contraprestação deverá ser computado na determinação da base de cálculo do imposto sobre a renda. Art. 45. Poderão ser computadas na determinação do lucro real da pessoa jurídica arrendatária as contraprestações pagas ou creditadas por força de contrato de arrendamento mercantil, referentes a bens móveis ou imóveis intrinsecamente relacionados com a produção ou comercialização dos bens e serviços. Art. 46. São indedutíveis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2026-07-28T00:13:03.802Z</dcterms:created>
  <dcterms:modified xsi:type="dcterms:W3CDTF">2026-07-28T00:13:03.802Z</dcterms:modified>
</cp:coreProperties>
</file>

<file path=docProps/custom.xml><?xml version="1.0" encoding="utf-8"?>
<Properties xmlns="http://schemas.openxmlformats.org/officeDocument/2006/custom-properties" xmlns:vt="http://schemas.openxmlformats.org/officeDocument/2006/docPropsVTypes"/>
</file>