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46.157</w:t>
      </w:r>
    </w:p>
    <w:p/>
    <w:p>
      <w:r>
        <w:t xml:space="preserve">A PARTIR DE QUANDO SÃO DEVIDOS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chamada desapropriação indireta, os juros compensatórios são devidos a partir da perícia, desde que tenha atribuído valor atual ao imóvel. Referência: - Constituição Federal, artigo 141, §16; - Código Civil, artigo 1.059; - Lei de Desapropriação por Utilidade Pública, artigo 26 ERE 46.157, de 03.08.62 (D.J. de 16.11.62, p. 700); ERA 48.597, de 15.04.63; ERA 47.009, de 07.06.63 (D.J. de 22.08.63, p. 749). RE 48.597, de 17.07.62; RE 52.086, de 05.04.63 (D.J. de 08.08.63, p. 687); RE 51.375, de 04.12.62 (D.J. de 18.04.63, p. 185). AG 28.202, de 19.03.63 (D.J. de 09.05.63, p. 261). Aprovada em Sessão de 13-12-1963 - pág. 150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2026-07-28T04:14:16.331Z</dcterms:created>
  <dcterms:modified xsi:type="dcterms:W3CDTF">2026-07-28T04:14:16.331Z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