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apelação 970.245/3.</w:t>
      </w:r>
    </w:p>
    <w:p/>
    <w:p>
      <w:r>
        <w:t xml:space="preserve">DENÚNCIA — DEPENDÊNCIA DE REPRESENTAÇÃO - LEI 9.099/95 (JUIZADO ESPECIAL) - APLICAÇÃO IMEDIATA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o início de vigência da lei 9.099, de 26.09.1995 (60 dias após a publicação, cf. o art.96), impende determinar a baixa dos autos à Vara de origem, para que ali se veja a vítima intimada a venha, eventualmente, oferecer "representação", a que o art. 91 deste diploma faz remissão. - Agora, como se sabe (art.88), para lesões corporais leves (art. 129, "caput") e culposas (art.129, § 6º) tal representação é necessária, e sem ela a ação penal não se poderá instaurar. Aos feitos pendentes se aplica o art. 91 antes mencionado. - Observa NELSON HUNGRIA, cujo magistério com propriedade vem transcrito pelo Juiz WALTER GUILHERME, na apelação 970.245/3. que em hipóteses dessa ordem a retroatividade é ampla e só não incidirá em já havendo ocorrido "transito em julgado". - Vale dizer ("Comentários ao Código Penal", vol.I, tomo I, Forense, 4ª ed., 1958, pp.122/124):"se a lei nova" converte um crime de ação pública em crime de ação privada" ou, diversamente da anterior, "subordina a ação pública à representação", cria, certamente, uma situação de favor para o réu e, assim, mesmo em relação aos "fatos pretéritos", a ação penal não pode ser intentada sem as ditas condições de procedibilidade(queixa, representação, requisição ), se já está em curso a ação do Ministério Público, não prosseguirá, salvo, no caso da exigência de representação ou requisição, se o "respectivo titular a apresentar" no prazo legal". - Daí (ob. e pp. cits.), "se na época do advento da nova lei, ação pública "já estava exaurida", não poderá ser alterada a si tuação, ainda quando o ofendido queira oferecer "perdão", desde que tanto a lei antiga como a nova o proíbam, mesmo no caso da ação privada, após o trânsito em julgado da sentença condenatória". - O princípio sob análise, aliás, possui embasamento não apenas doutrinário "senão também legal". Vem inserto na Lei de Introdução ao Código Penal (decreto-lei 3.931, de 11.12.41), ao menos para a ação exclusivamente privada: "se tiver sido intentada ação pública por crime que, segundo o Código Penal, só admite ação privada, esta, salvo decadência intercorrente, "poderá prosseguir" nos autos daquela, desde que a parte legítima para intentá-la "ratifique os atos realizados" e promova o andamento do processo". - Perfeitamente possível a analogia em matéria processual, ainda mais quando em "bonam partem, motivo não haveria para deixar de aplicar a regra em exame ao caso dos autos, de conformidade com o ensinamento de HUNGRIA antes referida. Equiparando ambas as situações, aliás, anota que a regra sob análise é antes de "direito material" do que propriamente processual. - No seu "Código Penal e sua Interpretação Jurisprudencial" (5ª ed., 1995, pp. 59/60, nota "4.03" ao artigo 2º), em parceria com outros autores, anota ALBERTO DA SILVA FRANCO justamente isso: quando restrinja prerrogativa da acusação a lei nova de processo possuirá nítido caráter "substantivo e, justamente em razão disso, retroagira por seu mais favorável. - Refere, com toda razoabilidade, via de regra existir "indissociável interpenetração" entre matéria e forma, de tal molde a fazer com a última venha a ser "impregnada" pela primeira, perdendo assim seu caráter "puramente instrumental": "ninguém desconhece que a identidade de origem entre o Direito Processual Penal e o Direito Processual Civil, este com seu equipamento conceitual muito mais desenvolvido sob a ótica científica, serviu para que o processo penal fosse invadido por postulados, noções, regras, pró prias do processo civil e que, examinados em maior profundidade, revelaram uma total dessintonia com a matéria onde foram introduzidos. Afirma-se, sem maiores considerações, que as normas processuais devem ter aplicação imediata, atingindo, inclusive, os fatos ocorridos antes de sua vigência, significa desconhecer a especificidade e a autonomia que devem ser atribuídas ao processo penal. Tal posicionamento não leva na devida conta o tipo de relacionamento existente entre o direito penal e o processo penal. Há entre um e outro "uma verdadeira relação de complementariedade funcional, podendo mesmo dizer-se relação de interdependência ou de implicação biunívoca: o processo penal - tal como qualquer processo - pressupõe o direito penal, e o direito penal - diferentemente do que acontece com os ramos do direito não sancionatório - só se concretiza através do processo. O processo penal é, em rigor, o "modus existendi do direito penal" (Taipa de Carvalho, Sucessão das Leis Penais, p. 212, 1990). Est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Toda vez que a regra processual nova, revestida de caráter material, se afigurar mais benéfica do que a anterior, por força deverá ocorrer retroação, com supedâneo não só no artigo 2º,parágrafo único, do Código Penal, como também da própria Constituição Federal vigente (art. 50, XL). E só não alcançará as ocorrências já cobertas pela coisa julgada.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2026-10-26T04:41:06.910Z</dcterms:created>
  <dcterms:modified xsi:type="dcterms:W3CDTF">2026-10-26T04:41:06.910Z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