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THOMPSON FLORES</w:t>
      </w:r>
    </w:p>
    <w:p/>
    <w:p>
      <w:r>
        <w:t xml:space="preserve">CONDENADO PELO TRIBUNAL DO JÚRI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já se encontrava detido em virtude de prisão preventiva decretada pelo Juiz-Presidente do Tribunal do Júri de Nonoai - RS. - Nessa hipótese, não faz jus à pretendida liberdade para apelar, conforme já se tem decidido: "Júri. Condenação. Recurso de apelação. Pretensão do apelante de aguardar em liberdade seu julgamento. II - O STF tem interpretado o artigo 594 do CPP, com a redação que lhe deu a Lei (nº 5.941/73), como extensiva às decisões do Júri. (Precedentes: RHC 53.992 e RHC 53.540). III - Todavia para admitir-se o reconhecimento do direito subjetivo do réu, é mister que se encontrasse livre antes do julgamento que originou a condenação, perdurando, ademais, os requisitos que proporcionaram a liberdade, mesmo após a pronúncia. IV - Recurso de Habeas corpus provido". (RHC 57.739 - RJ, Rel. Min. THOMPSON FLORES, RTJ 96/1.053). Ac. de 17-02-1992 DJ de 16-3-1992 Arquivo do EMFOR - STJ/741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também aos condenados pelo Júri restrição de não poder apelar em liberdade quem já estava preso, em flagrante ou preventivamente, por ocasião do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2026-07-28T00:26:54.503Z</dcterms:created>
  <dcterms:modified xsi:type="dcterms:W3CDTF">2026-07-28T00:26:54.503Z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