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115.644-9-</w:t>
      </w:r>
    </w:p>
    <w:p>
      <w:r>
        <w:rPr>
          <w:b/>
          <w:bCs/>
        </w:rPr>
        <w:t xml:space="preserve">Relator: </w:t>
      </w:r>
      <w:r>
        <w:t xml:space="preserve">OCTÁVIO GALLOTTI</w:t>
      </w:r>
    </w:p>
    <w:p/>
    <w:p>
      <w:r>
        <w:t xml:space="preserve">RÉU PRESO — FLUÊNCIA - QUANDO SE 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preliminar de intempestividade do recurso, eu a rejeito. - De fato, o réu tomou ciência da sentença em 1º de novembro de 1990, uma quinta-feira, vencendo-se o prazo para o recurso, tendo-se em conta tal intimação, em 9-11-90. E considerando-se esses dados, o recurso seria intempestivo, pois só oferecido a 13-11-90. - Ocorre, porém, que o Supremo Tribunal Federal, há muito, interpretando o art. 392, I, do Código de Processo Penal, vem sustentando que, quando o réu é preso e teve defensor dativo, ambos devem ser intimados da sentença condenatória, pois só assim fica assegurada a garantia de ampla defesa. E, mais recentemente, o mesmo Colendo Tribunal entendeu se necessária a dupla intimação, seja o defensor dativo ou constituído. - Via de conseqüência, obediente a tais ensinamentos, destacando, conheço do recurso. Ac. de 16-04-1991 VENCIDO O DESEMBARGADOR PAULO GOMES. Arquivo do EMFOR - TJ/2.185 EMFOR 519 EMENTA: - Esta corte já firmou orientação no sentido de que, estando o réu solto ou preso, e sendo seu defensor constituído ou dativo, ambos devem ser intimados da sentença condenatória, sendo irrelevante a ordem das intimações, começando, no entanto, a correr o prazo para a interposição do recurso cabível da última intimação. RESUMO DO ACÓRDÃO : - O novo defensor peticionou nos autos em 17-2-1990 ..., ocasião em que tomou ciência oficial da sentença condenatória. - Portanto, intimado em 13-2-1990 data em que tomou ciência da condenação ..., o novo defensor do paciente recorreu em 15-2-1990 ..., dentro do prazo legal sendo assim tempestiva a apelação, haja que segundo jurisprudência do Supremo Tribunal Federal o prazo recursal deve ser contado a partir da última intimação, seja do réu ou de seu defensor: "Ementa: Processo penal. É irrelevante a ordem cronológica de realização das intimações, ao réu e a seu defensor, da decisão condenatória, desde que se assegure a contagem do prazo de recurso a partir da última". RE 115.644-9-SP - Rel. Min. OCTÁVIO GALLOTTI - DJ 5-8-1988 - pág. 18.631. Ac. de 19-02-1991 Revista Trim. de Jurisprudência - Setembro de 1993 - Vol. 145 - Pág. 836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interposição de recurso de apelação, mesmo em se tratando de réu preso, só passa a correr após a intimação deste e de seu patrono.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2026-07-28T00:17:26.254Z</dcterms:created>
  <dcterms:modified xsi:type="dcterms:W3CDTF">2026-07-28T00:17:26.254Z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